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589EE97" w:rsidR="00E90E49" w:rsidRPr="00D26A08" w:rsidRDefault="00E90E49" w:rsidP="00E35559">
      <w:pPr>
        <w:pStyle w:val="3GPPHeader"/>
        <w:spacing w:after="60"/>
        <w:rPr>
          <w:sz w:val="32"/>
          <w:szCs w:val="32"/>
          <w:highlight w:val="yellow"/>
        </w:rPr>
      </w:pPr>
      <w:bookmarkStart w:id="0" w:name="_GoBack"/>
      <w:r w:rsidRPr="00D26A08">
        <w:t>3GPP TSG-RAN WG</w:t>
      </w:r>
      <w:r w:rsidR="008F1C4E" w:rsidRPr="00D26A08">
        <w:t>1</w:t>
      </w:r>
      <w:r w:rsidRPr="00D26A08">
        <w:t xml:space="preserve"> </w:t>
      </w:r>
      <w:r w:rsidR="008F1C4E" w:rsidRPr="00D26A08">
        <w:t xml:space="preserve">Meeting </w:t>
      </w:r>
      <w:r w:rsidRPr="00D26A08">
        <w:t>#</w:t>
      </w:r>
      <w:r w:rsidR="007434CD" w:rsidRPr="00D26A08">
        <w:t>10</w:t>
      </w:r>
      <w:r w:rsidR="0081032C" w:rsidRPr="00D26A08">
        <w:t>2-e</w:t>
      </w:r>
      <w:r w:rsidRPr="00D26A08">
        <w:tab/>
      </w:r>
      <w:r w:rsidR="000C72EF" w:rsidRPr="00D26A08">
        <w:rPr>
          <w:sz w:val="32"/>
          <w:szCs w:val="32"/>
        </w:rPr>
        <w:t>R1-</w:t>
      </w:r>
      <w:r w:rsidR="007434CD" w:rsidRPr="00D26A08">
        <w:rPr>
          <w:sz w:val="32"/>
          <w:szCs w:val="32"/>
        </w:rPr>
        <w:t>20</w:t>
      </w:r>
      <w:r w:rsidR="00D26A08" w:rsidRPr="00D26A08">
        <w:rPr>
          <w:sz w:val="32"/>
          <w:szCs w:val="32"/>
        </w:rPr>
        <w:t>05502</w:t>
      </w:r>
    </w:p>
    <w:p w14:paraId="60A5317D" w14:textId="3487424E" w:rsidR="00E90E49" w:rsidRPr="00D26A08" w:rsidRDefault="0081032C" w:rsidP="00357380">
      <w:pPr>
        <w:pStyle w:val="3GPPHeader"/>
      </w:pPr>
      <w:r w:rsidRPr="00D26A08">
        <w:t>e-Meeting</w:t>
      </w:r>
      <w:r w:rsidR="00E7243C" w:rsidRPr="00D26A08">
        <w:t xml:space="preserve">, </w:t>
      </w:r>
      <w:r w:rsidRPr="00D26A08">
        <w:t>August 17</w:t>
      </w:r>
      <w:r w:rsidR="00E7243C" w:rsidRPr="00D26A08">
        <w:rPr>
          <w:vertAlign w:val="superscript"/>
        </w:rPr>
        <w:t>th</w:t>
      </w:r>
      <w:r w:rsidR="00E7243C" w:rsidRPr="00D26A08">
        <w:t xml:space="preserve"> – 2</w:t>
      </w:r>
      <w:r w:rsidR="007434CD" w:rsidRPr="00D26A08">
        <w:t>8</w:t>
      </w:r>
      <w:r w:rsidR="00E7243C" w:rsidRPr="00D26A08">
        <w:rPr>
          <w:vertAlign w:val="superscript"/>
        </w:rPr>
        <w:t>th</w:t>
      </w:r>
      <w:r w:rsidRPr="00D26A08">
        <w:t>,</w:t>
      </w:r>
      <w:r w:rsidR="00E7243C" w:rsidRPr="00D26A08">
        <w:t xml:space="preserve"> 20</w:t>
      </w:r>
      <w:r w:rsidR="007434CD" w:rsidRPr="00D26A08">
        <w:t>20</w:t>
      </w:r>
    </w:p>
    <w:p w14:paraId="468E045B" w14:textId="77777777" w:rsidR="00E7243C" w:rsidRPr="00D26A08" w:rsidRDefault="00E7243C" w:rsidP="00357380">
      <w:pPr>
        <w:pStyle w:val="3GPPHeader"/>
      </w:pPr>
    </w:p>
    <w:p w14:paraId="3C6869D1" w14:textId="3AB2663E" w:rsidR="00E90E49" w:rsidRPr="00D26A08" w:rsidRDefault="00E90E49" w:rsidP="00311702">
      <w:pPr>
        <w:pStyle w:val="3GPPHeader"/>
        <w:rPr>
          <w:sz w:val="22"/>
        </w:rPr>
      </w:pPr>
      <w:r w:rsidRPr="00D26A08">
        <w:rPr>
          <w:sz w:val="22"/>
        </w:rPr>
        <w:t>Agenda Item:</w:t>
      </w:r>
      <w:r w:rsidRPr="00D26A08">
        <w:rPr>
          <w:sz w:val="22"/>
        </w:rPr>
        <w:tab/>
      </w:r>
      <w:r w:rsidR="007434CD" w:rsidRPr="00D26A08">
        <w:rPr>
          <w:sz w:val="22"/>
        </w:rPr>
        <w:t>8</w:t>
      </w:r>
      <w:r w:rsidR="006500B6" w:rsidRPr="00D26A08">
        <w:rPr>
          <w:sz w:val="22"/>
        </w:rPr>
        <w:t>.</w:t>
      </w:r>
      <w:r w:rsidR="007434CD" w:rsidRPr="00D26A08">
        <w:rPr>
          <w:sz w:val="22"/>
        </w:rPr>
        <w:t>4.</w:t>
      </w:r>
      <w:r w:rsidR="00060E90" w:rsidRPr="00D26A08">
        <w:rPr>
          <w:sz w:val="22"/>
        </w:rPr>
        <w:t>2</w:t>
      </w:r>
    </w:p>
    <w:p w14:paraId="0CB055DD" w14:textId="77777777" w:rsidR="00E90E49" w:rsidRPr="00D26A08" w:rsidRDefault="003D3C45" w:rsidP="00F64C2B">
      <w:pPr>
        <w:pStyle w:val="3GPPHeader"/>
        <w:rPr>
          <w:sz w:val="22"/>
        </w:rPr>
      </w:pPr>
      <w:r w:rsidRPr="00D26A08">
        <w:rPr>
          <w:sz w:val="22"/>
        </w:rPr>
        <w:t>Source:</w:t>
      </w:r>
      <w:r w:rsidR="00E90E49" w:rsidRPr="00D26A08">
        <w:rPr>
          <w:sz w:val="22"/>
        </w:rPr>
        <w:tab/>
      </w:r>
      <w:r w:rsidR="00F64C2B" w:rsidRPr="00D26A08">
        <w:rPr>
          <w:sz w:val="22"/>
        </w:rPr>
        <w:t>Ericsson</w:t>
      </w:r>
    </w:p>
    <w:p w14:paraId="63DAB814" w14:textId="0382840E" w:rsidR="00E90E49" w:rsidRPr="00D26A08" w:rsidRDefault="003D3C45" w:rsidP="00311702">
      <w:pPr>
        <w:pStyle w:val="3GPPHeader"/>
        <w:rPr>
          <w:sz w:val="22"/>
        </w:rPr>
      </w:pPr>
      <w:r w:rsidRPr="00D26A08">
        <w:rPr>
          <w:sz w:val="22"/>
        </w:rPr>
        <w:t>Title:</w:t>
      </w:r>
      <w:r w:rsidR="00E90E49" w:rsidRPr="00D26A08">
        <w:rPr>
          <w:sz w:val="22"/>
        </w:rPr>
        <w:tab/>
      </w:r>
      <w:r w:rsidR="00060E90" w:rsidRPr="00D26A08">
        <w:rPr>
          <w:sz w:val="22"/>
        </w:rPr>
        <w:t>On UL time and frequency synchronization enhancements for NTN</w:t>
      </w:r>
    </w:p>
    <w:p w14:paraId="76893D37" w14:textId="6ED9F32B" w:rsidR="00E90E49" w:rsidRPr="00D26A08" w:rsidRDefault="00E90E49" w:rsidP="000E5128">
      <w:pPr>
        <w:pStyle w:val="3GPPHeader"/>
        <w:rPr>
          <w:sz w:val="22"/>
        </w:rPr>
      </w:pPr>
      <w:r w:rsidRPr="00D26A08">
        <w:rPr>
          <w:sz w:val="22"/>
        </w:rPr>
        <w:t>Document for:</w:t>
      </w:r>
      <w:r w:rsidRPr="00D26A08">
        <w:rPr>
          <w:sz w:val="22"/>
        </w:rPr>
        <w:tab/>
        <w:t>Discussion</w:t>
      </w:r>
    </w:p>
    <w:p w14:paraId="09FE4FCF" w14:textId="77777777" w:rsidR="00E90E49" w:rsidRPr="00DF0849" w:rsidRDefault="00230D18" w:rsidP="00CE0424">
      <w:pPr>
        <w:pStyle w:val="Heading1"/>
        <w:rPr>
          <w:lang w:val="en-US"/>
        </w:rPr>
      </w:pPr>
      <w:r w:rsidRPr="00DF0849">
        <w:rPr>
          <w:lang w:val="en-US"/>
        </w:rPr>
        <w:t>1</w:t>
      </w:r>
      <w:r w:rsidRPr="00DF0849">
        <w:rPr>
          <w:lang w:val="en-US"/>
        </w:rPr>
        <w:tab/>
      </w:r>
      <w:r w:rsidR="00E90E49" w:rsidRPr="00DF0849">
        <w:rPr>
          <w:lang w:val="en-US"/>
        </w:rPr>
        <w:t>Introduction</w:t>
      </w:r>
    </w:p>
    <w:p w14:paraId="4939C586" w14:textId="6D1A9E10" w:rsidR="00060E90" w:rsidRPr="00F321DD" w:rsidRDefault="00060E90" w:rsidP="000E5128">
      <w:pPr>
        <w:jc w:val="both"/>
        <w:rPr>
          <w:rFonts w:ascii="Arial" w:hAnsi="Arial"/>
        </w:rPr>
      </w:pPr>
      <w:r w:rsidRPr="00D26A08">
        <w:rPr>
          <w:rFonts w:ascii="Arial" w:hAnsi="Arial"/>
        </w:rPr>
        <w:t xml:space="preserve">The work item on solutions for NR to support non-terrestrial networks (NTN) was approved at RAN#86 and the work item description (WID) is updated in </w:t>
      </w:r>
      <w:r w:rsidRPr="00D26A08">
        <w:rPr>
          <w:rFonts w:ascii="Arial" w:hAnsi="Arial"/>
        </w:rPr>
        <w:fldChar w:fldCharType="begin"/>
      </w:r>
      <w:r w:rsidRPr="00F321DD">
        <w:rPr>
          <w:rFonts w:ascii="Arial" w:hAnsi="Arial"/>
        </w:rPr>
        <w:instrText xml:space="preserve"> REF _Ref45286859 \r \h </w:instrText>
      </w:r>
      <w:r w:rsidR="00234F19" w:rsidRPr="00F321DD">
        <w:rPr>
          <w:rFonts w:ascii="Arial" w:hAnsi="Arial"/>
        </w:rPr>
        <w:instrText xml:space="preserve"> \* MERGEFORMAT </w:instrText>
      </w:r>
      <w:r w:rsidRPr="00D26A08">
        <w:rPr>
          <w:rFonts w:ascii="Arial" w:hAnsi="Arial"/>
        </w:rPr>
      </w:r>
      <w:r w:rsidRPr="00D26A08">
        <w:rPr>
          <w:rFonts w:ascii="Arial" w:hAnsi="Arial"/>
        </w:rPr>
        <w:fldChar w:fldCharType="separate"/>
      </w:r>
      <w:r w:rsidR="004B737B">
        <w:rPr>
          <w:rFonts w:ascii="Arial" w:hAnsi="Arial"/>
        </w:rPr>
        <w:t>[1]</w:t>
      </w:r>
      <w:r w:rsidRPr="00D26A08">
        <w:rPr>
          <w:rFonts w:ascii="Arial" w:hAnsi="Arial"/>
        </w:rPr>
        <w:fldChar w:fldCharType="end"/>
      </w:r>
      <w:r w:rsidRPr="00D26A08">
        <w:rPr>
          <w:rFonts w:ascii="Arial" w:hAnsi="Arial"/>
        </w:rPr>
        <w:t xml:space="preserve">. One objective is to specify uplink (UL) time and frequency synchronization enhancements for NTN. In this contribution, we first review the work done in Rel-16 as captured in TR 38.821, and the agreed Release 17 WID. Then we discuss GNSS and ephemeris </w:t>
      </w:r>
      <w:r w:rsidRPr="00F321DD">
        <w:rPr>
          <w:rFonts w:ascii="Arial" w:hAnsi="Arial"/>
        </w:rPr>
        <w:t>aspects and requirements and make a set of proposals based on which we determine a set of relevant UL time and frequency synchronization enhancements for NTN in Release 17.</w:t>
      </w:r>
    </w:p>
    <w:p w14:paraId="35414B24" w14:textId="01E7BC78" w:rsidR="007434CD" w:rsidRPr="00DF0849" w:rsidRDefault="007434CD" w:rsidP="007434CD">
      <w:pPr>
        <w:pStyle w:val="Heading1"/>
        <w:rPr>
          <w:lang w:val="en-US"/>
        </w:rPr>
      </w:pPr>
      <w:r w:rsidRPr="00DF0849">
        <w:rPr>
          <w:lang w:val="en-US"/>
        </w:rPr>
        <w:t>2</w:t>
      </w:r>
      <w:r w:rsidRPr="00DF0849">
        <w:rPr>
          <w:lang w:val="en-US"/>
        </w:rPr>
        <w:tab/>
      </w:r>
      <w:r w:rsidR="00060E90" w:rsidRPr="00DF0849">
        <w:rPr>
          <w:lang w:val="en-US"/>
        </w:rPr>
        <w:t>Background</w:t>
      </w:r>
    </w:p>
    <w:p w14:paraId="191B41B1" w14:textId="01D31D7F" w:rsidR="00060E90" w:rsidRPr="00F321DD" w:rsidRDefault="00060E90" w:rsidP="00060E90">
      <w:pPr>
        <w:jc w:val="both"/>
        <w:rPr>
          <w:rFonts w:ascii="Arial" w:hAnsi="Arial" w:cs="Arial"/>
        </w:rPr>
      </w:pPr>
      <w:r w:rsidRPr="00D26A08">
        <w:rPr>
          <w:rFonts w:ascii="Arial" w:hAnsi="Arial" w:cs="Arial"/>
        </w:rPr>
        <w:t>TR 38.821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w:t>
      </w:r>
      <w:r w:rsidRPr="00F321DD">
        <w:rPr>
          <w:rFonts w:ascii="Arial" w:hAnsi="Arial" w:cs="Arial"/>
        </w:rPr>
        <w:t xml:space="preserve"> increased UE complexity.</w:t>
      </w:r>
    </w:p>
    <w:p w14:paraId="45B3E131" w14:textId="5F639570" w:rsidR="00060E90" w:rsidRPr="00F321DD" w:rsidRDefault="00060E90" w:rsidP="00060E90">
      <w:pPr>
        <w:jc w:val="both"/>
        <w:rPr>
          <w:rFonts w:ascii="Arial" w:hAnsi="Arial" w:cs="Arial"/>
        </w:rPr>
      </w:pPr>
      <w:r w:rsidRPr="00F321DD">
        <w:rPr>
          <w:rFonts w:ascii="Arial" w:hAnsi="Arial" w:cs="Arial"/>
        </w:rPr>
        <w:t>For the UL time and frequency synchronization it was agreed that existing preamble formats can be reused during random access in case the UE can perform pre-compensation of timing and frequency offset.</w:t>
      </w:r>
    </w:p>
    <w:p w14:paraId="20D2EFFE" w14:textId="77777777" w:rsidR="00060E90" w:rsidRPr="00F321DD" w:rsidRDefault="00060E90" w:rsidP="00060E90">
      <w:pPr>
        <w:jc w:val="both"/>
        <w:rPr>
          <w:rFonts w:ascii="Arial" w:hAnsi="Arial" w:cs="Arial"/>
        </w:rPr>
      </w:pPr>
      <w:r w:rsidRPr="00F321DD">
        <w:rPr>
          <w:rFonts w:ascii="Arial" w:hAnsi="Arial" w:cs="Arial"/>
        </w:rPr>
        <w:t>For the maintenance of UL time synchronization two options are outlined in TR 38.821:</w:t>
      </w:r>
    </w:p>
    <w:p w14:paraId="574D98EC" w14:textId="33D25269" w:rsidR="00060E90" w:rsidRPr="00DF0849" w:rsidRDefault="00060E90" w:rsidP="00DF0849">
      <w:pPr>
        <w:pStyle w:val="ListParagraph"/>
        <w:numPr>
          <w:ilvl w:val="0"/>
          <w:numId w:val="15"/>
        </w:numPr>
        <w:jc w:val="both"/>
        <w:rPr>
          <w:rFonts w:ascii="Arial" w:hAnsi="Arial" w:cs="Arial"/>
          <w:lang w:val="en-US"/>
        </w:rPr>
      </w:pPr>
      <w:r w:rsidRPr="00DF0849">
        <w:rPr>
          <w:rFonts w:ascii="Arial" w:hAnsi="Arial" w:cs="Arial"/>
          <w:lang w:val="en-US"/>
        </w:rPr>
        <w:t xml:space="preserve">Option </w:t>
      </w:r>
      <w:r w:rsidRPr="00F321DD">
        <w:rPr>
          <w:rFonts w:ascii="Arial" w:hAnsi="Arial" w:cs="Arial"/>
          <w:lang w:val="en-US"/>
        </w:rPr>
        <w:t>A.</w:t>
      </w:r>
      <w:r w:rsidRPr="00DF0849">
        <w:rPr>
          <w:rFonts w:ascii="Arial" w:hAnsi="Arial" w:cs="Arial"/>
          <w:lang w:val="en-US"/>
        </w:rPr>
        <w:t xml:space="preserve">1: Autonomous acquisition of the </w:t>
      </w:r>
      <w:r w:rsidR="00DA2B2F">
        <w:rPr>
          <w:rFonts w:ascii="Arial" w:hAnsi="Arial" w:cs="Arial"/>
          <w:lang w:val="en-US"/>
        </w:rPr>
        <w:t>t</w:t>
      </w:r>
      <w:r w:rsidR="00725041">
        <w:rPr>
          <w:rFonts w:ascii="Arial" w:hAnsi="Arial" w:cs="Arial"/>
          <w:lang w:val="en-US"/>
        </w:rPr>
        <w:t xml:space="preserve">iming </w:t>
      </w:r>
      <w:r w:rsidR="00DA2B2F">
        <w:rPr>
          <w:rFonts w:ascii="Arial" w:hAnsi="Arial" w:cs="Arial"/>
          <w:lang w:val="en-US"/>
        </w:rPr>
        <w:t>a</w:t>
      </w:r>
      <w:r w:rsidR="00725041">
        <w:rPr>
          <w:rFonts w:ascii="Arial" w:hAnsi="Arial" w:cs="Arial"/>
          <w:lang w:val="en-US"/>
        </w:rPr>
        <w:t>dvance (</w:t>
      </w:r>
      <w:r w:rsidRPr="00DF0849">
        <w:rPr>
          <w:rFonts w:ascii="Arial" w:hAnsi="Arial" w:cs="Arial"/>
          <w:lang w:val="en-US"/>
        </w:rPr>
        <w:t>TA</w:t>
      </w:r>
      <w:r w:rsidR="00725041">
        <w:rPr>
          <w:rFonts w:ascii="Arial" w:hAnsi="Arial" w:cs="Arial"/>
          <w:lang w:val="en-US"/>
        </w:rPr>
        <w:t>)</w:t>
      </w:r>
      <w:r w:rsidRPr="00DF0849">
        <w:rPr>
          <w:rFonts w:ascii="Arial" w:hAnsi="Arial" w:cs="Arial"/>
          <w:lang w:val="en-US"/>
        </w:rPr>
        <w:t xml:space="preserve"> at UE with UE location</w:t>
      </w:r>
      <w:r w:rsidRPr="00F321DD">
        <w:rPr>
          <w:rFonts w:ascii="Arial" w:hAnsi="Arial" w:cs="Arial"/>
          <w:lang w:val="en-US"/>
        </w:rPr>
        <w:t xml:space="preserve"> known</w:t>
      </w:r>
      <w:r w:rsidRPr="00DF0849">
        <w:rPr>
          <w:rFonts w:ascii="Arial" w:hAnsi="Arial" w:cs="Arial"/>
          <w:lang w:val="en-US"/>
        </w:rPr>
        <w:t xml:space="preserve"> and satellite ephemeris.</w:t>
      </w:r>
    </w:p>
    <w:p w14:paraId="56F071AC" w14:textId="77777777" w:rsidR="00060E90" w:rsidRPr="00DF0849" w:rsidRDefault="00060E90" w:rsidP="00DF0849">
      <w:pPr>
        <w:pStyle w:val="ListParagraph"/>
        <w:numPr>
          <w:ilvl w:val="0"/>
          <w:numId w:val="15"/>
        </w:numPr>
        <w:jc w:val="both"/>
        <w:rPr>
          <w:rFonts w:ascii="Arial" w:hAnsi="Arial" w:cs="Arial"/>
          <w:lang w:val="en-US"/>
        </w:rPr>
      </w:pPr>
      <w:r w:rsidRPr="00DF0849">
        <w:rPr>
          <w:rFonts w:ascii="Arial" w:hAnsi="Arial" w:cs="Arial"/>
          <w:lang w:val="en-US"/>
        </w:rPr>
        <w:t xml:space="preserve">Option </w:t>
      </w:r>
      <w:r w:rsidRPr="00F321DD">
        <w:rPr>
          <w:rFonts w:ascii="Arial" w:hAnsi="Arial" w:cs="Arial"/>
          <w:lang w:val="en-US"/>
        </w:rPr>
        <w:t>A.</w:t>
      </w:r>
      <w:r w:rsidRPr="00DF0849">
        <w:rPr>
          <w:rFonts w:ascii="Arial" w:hAnsi="Arial" w:cs="Arial"/>
          <w:lang w:val="en-US"/>
        </w:rPr>
        <w:t>2: Timing advance adjustment based on network indication</w:t>
      </w:r>
      <w:r w:rsidRPr="00F321DD">
        <w:rPr>
          <w:rFonts w:ascii="Arial" w:hAnsi="Arial" w:cs="Arial"/>
          <w:lang w:val="en-US"/>
        </w:rPr>
        <w:t>.</w:t>
      </w:r>
    </w:p>
    <w:p w14:paraId="6145A874" w14:textId="77777777" w:rsidR="00060E90" w:rsidRPr="00D26A08" w:rsidRDefault="00060E90" w:rsidP="00060E90">
      <w:pPr>
        <w:jc w:val="both"/>
        <w:rPr>
          <w:rFonts w:ascii="Arial" w:hAnsi="Arial" w:cs="Arial"/>
        </w:rPr>
      </w:pPr>
      <w:r w:rsidRPr="00D26A08">
        <w:rPr>
          <w:rFonts w:ascii="Arial" w:hAnsi="Arial" w:cs="Arial"/>
        </w:rPr>
        <w:t>For the maintenance of UL frequency synchronization yet two options are outlined in TR 38.821:</w:t>
      </w:r>
    </w:p>
    <w:p w14:paraId="485C433B" w14:textId="77777777" w:rsidR="00060E90" w:rsidRPr="00DF0849" w:rsidRDefault="00060E90" w:rsidP="00DF0849">
      <w:pPr>
        <w:pStyle w:val="ListParagraph"/>
        <w:numPr>
          <w:ilvl w:val="0"/>
          <w:numId w:val="14"/>
        </w:numPr>
        <w:jc w:val="both"/>
        <w:rPr>
          <w:rFonts w:ascii="Arial" w:hAnsi="Arial"/>
          <w:lang w:val="en-US"/>
        </w:rPr>
      </w:pPr>
      <w:r w:rsidRPr="00DF0849">
        <w:rPr>
          <w:rFonts w:ascii="Arial" w:hAnsi="Arial" w:cs="Arial"/>
          <w:lang w:val="en-US"/>
        </w:rPr>
        <w:t xml:space="preserve">Option </w:t>
      </w:r>
      <w:r w:rsidRPr="00F321DD">
        <w:rPr>
          <w:rFonts w:ascii="Arial" w:hAnsi="Arial" w:cs="Arial"/>
          <w:lang w:val="en-US"/>
        </w:rPr>
        <w:t>B.</w:t>
      </w:r>
      <w:r w:rsidRPr="00DF0849">
        <w:rPr>
          <w:rFonts w:ascii="Arial" w:hAnsi="Arial" w:cs="Arial"/>
          <w:lang w:val="en-US"/>
        </w:rPr>
        <w:t xml:space="preserve">1: </w:t>
      </w:r>
      <w:r w:rsidRPr="00DF0849">
        <w:rPr>
          <w:rFonts w:ascii="Arial" w:hAnsi="Arial" w:cs="Arial"/>
          <w:lang w:val="en-US" w:eastAsia="x-none"/>
        </w:rPr>
        <w:t xml:space="preserve">Both the estimation and pre-compensation of </w:t>
      </w:r>
      <w:r w:rsidRPr="00DF0849">
        <w:rPr>
          <w:rFonts w:ascii="Arial" w:hAnsi="Arial" w:cs="Arial"/>
          <w:lang w:val="en-US"/>
        </w:rPr>
        <w:t>UE-specific frequency offset are conducted at the UE side.</w:t>
      </w:r>
    </w:p>
    <w:p w14:paraId="168C0727" w14:textId="77777777" w:rsidR="00060E90" w:rsidRPr="00DF0849" w:rsidRDefault="00060E90" w:rsidP="00DF0849">
      <w:pPr>
        <w:pStyle w:val="ListParagraph"/>
        <w:numPr>
          <w:ilvl w:val="0"/>
          <w:numId w:val="14"/>
        </w:numPr>
        <w:jc w:val="both"/>
        <w:rPr>
          <w:rFonts w:ascii="Arial" w:hAnsi="Arial" w:cs="Arial"/>
          <w:lang w:val="en-US"/>
        </w:rPr>
      </w:pPr>
      <w:r w:rsidRPr="00DF0849">
        <w:rPr>
          <w:rFonts w:ascii="Arial" w:hAnsi="Arial" w:cs="Arial"/>
          <w:lang w:val="en-US"/>
        </w:rPr>
        <w:t xml:space="preserve">Option </w:t>
      </w:r>
      <w:r w:rsidRPr="00F321DD">
        <w:rPr>
          <w:rFonts w:ascii="Arial" w:hAnsi="Arial" w:cs="Arial"/>
          <w:lang w:val="en-US"/>
        </w:rPr>
        <w:t>B.</w:t>
      </w:r>
      <w:r w:rsidRPr="00DF0849">
        <w:rPr>
          <w:rFonts w:ascii="Arial" w:hAnsi="Arial" w:cs="Arial"/>
          <w:lang w:val="en-US"/>
        </w:rPr>
        <w:t>2: The required frequency offset for UL frequency compensation at least in LEO systems is indicated by the network to UE.</w:t>
      </w:r>
    </w:p>
    <w:p w14:paraId="1E40D977" w14:textId="5BFD71A1" w:rsidR="00060E90" w:rsidRPr="00F321DD" w:rsidRDefault="00060E90" w:rsidP="00060E90">
      <w:pPr>
        <w:jc w:val="both"/>
        <w:rPr>
          <w:rFonts w:ascii="Arial" w:hAnsi="Arial" w:cs="Arial"/>
        </w:rPr>
      </w:pPr>
      <w:r w:rsidRPr="00D26A08">
        <w:rPr>
          <w:rFonts w:ascii="Arial" w:hAnsi="Arial" w:cs="Arial"/>
        </w:rPr>
        <w:t>The suitability of the above options is to a large extent dependent on the UE’s ability to support GNSS in the different RRC states, on the availability of accurate ephemeris data</w:t>
      </w:r>
      <w:r w:rsidRPr="00F321DD">
        <w:rPr>
          <w:rFonts w:ascii="Arial" w:hAnsi="Arial" w:cs="Arial"/>
        </w:rPr>
        <w:t>, and on the UE’s ability to make use of the GNSS and ephemeris information for performing time and frequency pre-</w:t>
      </w:r>
      <w:r w:rsidRPr="00F321DD">
        <w:rPr>
          <w:rFonts w:ascii="Arial" w:hAnsi="Arial" w:cs="Arial"/>
        </w:rPr>
        <w:lastRenderedPageBreak/>
        <w:t>compensation to compensate for Doppler effects. The next sections we express our view on this critical functionality.</w:t>
      </w:r>
    </w:p>
    <w:p w14:paraId="38E3692C" w14:textId="77777777" w:rsidR="00060E90" w:rsidRPr="00DF0849" w:rsidRDefault="00060E90" w:rsidP="00060E90">
      <w:pPr>
        <w:pStyle w:val="Heading1"/>
        <w:rPr>
          <w:lang w:val="en-US"/>
        </w:rPr>
      </w:pPr>
      <w:r w:rsidRPr="00DF0849">
        <w:rPr>
          <w:lang w:val="en-US"/>
        </w:rPr>
        <w:t>3</w:t>
      </w:r>
      <w:r w:rsidRPr="00DF0849">
        <w:rPr>
          <w:lang w:val="en-US"/>
        </w:rPr>
        <w:tab/>
        <w:t>GNSS requirements</w:t>
      </w:r>
    </w:p>
    <w:p w14:paraId="074686A5" w14:textId="668CFE4A" w:rsidR="00060E90" w:rsidRPr="00F321DD" w:rsidRDefault="00060E90" w:rsidP="00060E90">
      <w:pPr>
        <w:jc w:val="both"/>
        <w:rPr>
          <w:rFonts w:ascii="Arial" w:hAnsi="Arial" w:cs="Arial"/>
        </w:rPr>
      </w:pPr>
      <w:r w:rsidRPr="00D26A08">
        <w:rPr>
          <w:rFonts w:ascii="Arial" w:hAnsi="Arial" w:cs="Arial"/>
        </w:rPr>
        <w:t>In the overall objectives of the WID</w:t>
      </w:r>
      <w:r w:rsidRPr="00D26A08">
        <w:rPr>
          <w:rFonts w:ascii="Arial" w:hAnsi="Arial"/>
        </w:rPr>
        <w:t xml:space="preserve"> </w:t>
      </w:r>
      <w:r w:rsidRPr="00D26A08">
        <w:rPr>
          <w:rFonts w:ascii="Arial" w:hAnsi="Arial"/>
        </w:rPr>
        <w:fldChar w:fldCharType="begin"/>
      </w:r>
      <w:r w:rsidRPr="00F321DD">
        <w:rPr>
          <w:rFonts w:ascii="Arial" w:hAnsi="Arial"/>
        </w:rPr>
        <w:instrText xml:space="preserve"> REF _Ref45286859 \r \h </w:instrText>
      </w:r>
      <w:r w:rsidR="00234F19" w:rsidRPr="00F321DD">
        <w:rPr>
          <w:rFonts w:ascii="Arial" w:hAnsi="Arial"/>
        </w:rPr>
        <w:instrText xml:space="preserve"> \* MERGEFORMAT </w:instrText>
      </w:r>
      <w:r w:rsidRPr="00D26A08">
        <w:rPr>
          <w:rFonts w:ascii="Arial" w:hAnsi="Arial"/>
        </w:rPr>
      </w:r>
      <w:r w:rsidRPr="00D26A08">
        <w:rPr>
          <w:rFonts w:ascii="Arial" w:hAnsi="Arial"/>
        </w:rPr>
        <w:fldChar w:fldCharType="separate"/>
      </w:r>
      <w:r w:rsidR="004B737B">
        <w:rPr>
          <w:rFonts w:ascii="Arial" w:hAnsi="Arial"/>
        </w:rPr>
        <w:t>[1]</w:t>
      </w:r>
      <w:r w:rsidRPr="00D26A08">
        <w:rPr>
          <w:rFonts w:ascii="Arial" w:hAnsi="Arial"/>
        </w:rPr>
        <w:fldChar w:fldCharType="end"/>
      </w:r>
      <w:r w:rsidRPr="00D26A08">
        <w:rPr>
          <w:rFonts w:ascii="Arial" w:hAnsi="Arial"/>
        </w:rPr>
        <w:t xml:space="preserve">, it is stated that </w:t>
      </w:r>
      <w:r w:rsidRPr="00D26A08">
        <w:rPr>
          <w:rFonts w:ascii="Arial" w:hAnsi="Arial" w:cs="Arial"/>
          <w:i/>
        </w:rPr>
        <w:t>“UEs with GNSS capabilities are assumed”</w:t>
      </w:r>
      <w:r w:rsidRPr="00D26A08">
        <w:rPr>
          <w:rFonts w:ascii="Arial" w:hAnsi="Arial" w:cs="Arial"/>
        </w:rPr>
        <w:t>. At the same time, in the RAN1-specific objectives t</w:t>
      </w:r>
      <w:r w:rsidRPr="00F321DD">
        <w:rPr>
          <w:rFonts w:ascii="Arial" w:hAnsi="Arial" w:cs="Arial"/>
        </w:rPr>
        <w:t>he following is stated:</w:t>
      </w:r>
    </w:p>
    <w:p w14:paraId="37A80A42" w14:textId="77777777" w:rsidR="00060E90" w:rsidRPr="00F321DD" w:rsidRDefault="00060E90" w:rsidP="00060E90">
      <w:pPr>
        <w:ind w:left="360"/>
        <w:jc w:val="both"/>
        <w:rPr>
          <w:rFonts w:ascii="Arial" w:hAnsi="Arial" w:cs="Arial"/>
          <w:i/>
        </w:rPr>
      </w:pPr>
      <w:r w:rsidRPr="00F321DD">
        <w:rPr>
          <w:rFonts w:ascii="Arial" w:hAnsi="Arial" w:cs="Arial"/>
          <w:i/>
        </w:rPr>
        <w:t>“In addition, the following topics should be specified if beneficial and needed</w:t>
      </w:r>
    </w:p>
    <w:p w14:paraId="449E6729" w14:textId="77777777" w:rsidR="00060E90" w:rsidRPr="00F321DD" w:rsidRDefault="00060E90" w:rsidP="00DF0849">
      <w:pPr>
        <w:numPr>
          <w:ilvl w:val="0"/>
          <w:numId w:val="16"/>
        </w:numPr>
        <w:overflowPunct w:val="0"/>
        <w:autoSpaceDE w:val="0"/>
        <w:autoSpaceDN w:val="0"/>
        <w:adjustRightInd w:val="0"/>
        <w:spacing w:before="100" w:beforeAutospacing="1" w:after="100" w:afterAutospacing="1" w:line="240" w:lineRule="auto"/>
        <w:ind w:left="1080"/>
        <w:jc w:val="both"/>
        <w:textAlignment w:val="baseline"/>
        <w:rPr>
          <w:rFonts w:ascii="Arial" w:hAnsi="Arial" w:cs="Arial"/>
          <w:i/>
        </w:rPr>
      </w:pPr>
      <w:r w:rsidRPr="00F321DD">
        <w:rPr>
          <w:rFonts w:ascii="Arial" w:hAnsi="Arial" w:cs="Arial"/>
          <w:i/>
        </w:rPr>
        <w:t>Enhancement on the PRACH sequence and/or format and extension of the ra-</w:t>
      </w:r>
      <w:proofErr w:type="spellStart"/>
      <w:r w:rsidRPr="00F321DD">
        <w:rPr>
          <w:rFonts w:ascii="Arial" w:hAnsi="Arial" w:cs="Arial"/>
          <w:i/>
        </w:rPr>
        <w:t>ResponseWindow</w:t>
      </w:r>
      <w:proofErr w:type="spellEnd"/>
      <w:r w:rsidRPr="00F321DD">
        <w:rPr>
          <w:rFonts w:ascii="Arial" w:hAnsi="Arial" w:cs="Arial"/>
          <w:i/>
        </w:rPr>
        <w:t xml:space="preserve"> duration </w:t>
      </w:r>
      <w:r w:rsidRPr="00DF0849">
        <w:rPr>
          <w:rFonts w:ascii="Arial" w:hAnsi="Arial" w:cs="Arial"/>
          <w:i/>
        </w:rPr>
        <w:t>(in the case of UE with GNSS capability but without pre-compensation of timing and frequency offset capabilities)</w:t>
      </w:r>
      <w:r w:rsidRPr="00F321DD">
        <w:rPr>
          <w:rFonts w:ascii="Arial" w:hAnsi="Arial" w:cs="Arial"/>
          <w:i/>
        </w:rPr>
        <w:t xml:space="preserve"> [RAN1/2]</w:t>
      </w:r>
      <w:r w:rsidRPr="00F321DD">
        <w:rPr>
          <w:rFonts w:ascii="Arial" w:eastAsia="PMingLiU" w:hAnsi="Arial" w:cs="Arial"/>
          <w:i/>
          <w:lang w:eastAsia="zh-TW"/>
        </w:rPr>
        <w:t>.</w:t>
      </w:r>
      <w:r w:rsidRPr="00F321DD">
        <w:rPr>
          <w:rFonts w:ascii="Arial" w:hAnsi="Arial" w:cs="Arial"/>
          <w:i/>
        </w:rPr>
        <w:t>”</w:t>
      </w:r>
    </w:p>
    <w:p w14:paraId="0BE859ED" w14:textId="240F4B31" w:rsidR="00060E90" w:rsidRPr="00F321DD" w:rsidRDefault="00060E90" w:rsidP="00060E90">
      <w:pPr>
        <w:jc w:val="both"/>
        <w:rPr>
          <w:rFonts w:ascii="Arial" w:hAnsi="Arial" w:cs="Arial"/>
          <w:lang w:eastAsia="ja-JP"/>
        </w:rPr>
      </w:pPr>
      <w:r w:rsidRPr="00F321DD">
        <w:rPr>
          <w:rFonts w:ascii="Arial" w:hAnsi="Arial" w:cs="Arial"/>
          <w:lang w:eastAsia="ja-JP"/>
        </w:rPr>
        <w:t xml:space="preserve">Even though the WID states that the NTN UE will be GNSS capable, it does not explicitly state that the acquired GNSS position data is available to the lower layers of NR that are responsible for pre-compensation. Also, one could argue that for a low-end UE, the calculation of propagation delay and Doppler shift based on UE position and satellite position/velocity is too complex. However, since even IOT NTN UEs are assumed to be capable of GNSS-based pre-compensation </w:t>
      </w:r>
      <w:r w:rsidRPr="00D26A08">
        <w:rPr>
          <w:rFonts w:ascii="Arial" w:hAnsi="Arial" w:cs="Arial"/>
          <w:highlight w:val="yellow"/>
          <w:lang w:eastAsia="ja-JP"/>
        </w:rPr>
        <w:fldChar w:fldCharType="begin"/>
      </w:r>
      <w:r w:rsidRPr="00F321DD">
        <w:rPr>
          <w:rFonts w:ascii="Arial" w:hAnsi="Arial" w:cs="Arial"/>
          <w:lang w:eastAsia="ja-JP"/>
        </w:rPr>
        <w:instrText xml:space="preserve"> REF _Ref46426533 \r \h </w:instrText>
      </w:r>
      <w:r w:rsidR="00234F19" w:rsidRPr="00F321DD">
        <w:rPr>
          <w:rFonts w:ascii="Arial" w:hAnsi="Arial" w:cs="Arial"/>
          <w:highlight w:val="yellow"/>
          <w:lang w:eastAsia="ja-JP"/>
        </w:rPr>
        <w:instrText xml:space="preserve"> \* MERGEFORMAT </w:instrText>
      </w:r>
      <w:r w:rsidRPr="00D26A08">
        <w:rPr>
          <w:rFonts w:ascii="Arial" w:hAnsi="Arial" w:cs="Arial"/>
          <w:highlight w:val="yellow"/>
          <w:lang w:eastAsia="ja-JP"/>
        </w:rPr>
      </w:r>
      <w:r w:rsidRPr="00D26A08">
        <w:rPr>
          <w:rFonts w:ascii="Arial" w:hAnsi="Arial" w:cs="Arial"/>
          <w:highlight w:val="yellow"/>
          <w:lang w:eastAsia="ja-JP"/>
        </w:rPr>
        <w:fldChar w:fldCharType="separate"/>
      </w:r>
      <w:r w:rsidR="004B737B">
        <w:rPr>
          <w:rFonts w:ascii="Arial" w:hAnsi="Arial" w:cs="Arial"/>
          <w:lang w:eastAsia="ja-JP"/>
        </w:rPr>
        <w:t>[2]</w:t>
      </w:r>
      <w:r w:rsidRPr="00D26A08">
        <w:rPr>
          <w:rFonts w:ascii="Arial" w:hAnsi="Arial" w:cs="Arial"/>
          <w:highlight w:val="yellow"/>
          <w:lang w:eastAsia="ja-JP"/>
        </w:rPr>
        <w:fldChar w:fldCharType="end"/>
      </w:r>
      <w:r w:rsidRPr="00D26A08">
        <w:rPr>
          <w:rFonts w:ascii="Arial" w:hAnsi="Arial" w:cs="Arial"/>
          <w:lang w:eastAsia="ja-JP"/>
        </w:rPr>
        <w:t xml:space="preserve">, it is our view that NR NTN UE should be at least as capable. </w:t>
      </w:r>
    </w:p>
    <w:p w14:paraId="6BCE9E41" w14:textId="3822B444" w:rsidR="00060E90" w:rsidRPr="00F321DD" w:rsidRDefault="00060E90" w:rsidP="00060E90">
      <w:pPr>
        <w:jc w:val="both"/>
        <w:rPr>
          <w:rFonts w:ascii="Arial" w:hAnsi="Arial" w:cs="Arial"/>
        </w:rPr>
      </w:pPr>
      <w:r w:rsidRPr="00F321DD">
        <w:rPr>
          <w:rFonts w:ascii="Arial" w:hAnsi="Arial" w:cs="Arial"/>
        </w:rPr>
        <w:t>However, even if a UE is GNSS capable, it may not be capable of simultaneous GNSS operation and NR transmission/reception, e.g., RF components may be shared between NR and GNSS receivers. Therefore, depending on UE implementation it may be needed to restrict GNSS operation to RRC idle and RRC inactive modes.</w:t>
      </w:r>
    </w:p>
    <w:p w14:paraId="709A168D" w14:textId="0CD70606" w:rsidR="00060E90" w:rsidRPr="00F321DD" w:rsidRDefault="00060E90" w:rsidP="00060E90">
      <w:pPr>
        <w:pStyle w:val="Proposal"/>
        <w:tabs>
          <w:tab w:val="num" w:pos="2439"/>
        </w:tabs>
      </w:pPr>
      <w:bookmarkStart w:id="1" w:name="_Toc31705497"/>
      <w:bookmarkStart w:id="2" w:name="_Hlk31291116"/>
      <w:bookmarkStart w:id="3" w:name="_Toc47672502"/>
      <w:r w:rsidRPr="00F321DD">
        <w:t>NR NTN UE shall be capable of using an acquired GNSS position and satellite ephemeris to calculate pre-compensation of timing and frequency offset and apply the calculated values accordingly</w:t>
      </w:r>
      <w:bookmarkEnd w:id="1"/>
      <w:bookmarkEnd w:id="2"/>
      <w:r w:rsidRPr="00F321DD">
        <w:t xml:space="preserve"> at least in </w:t>
      </w:r>
      <w:r w:rsidRPr="00F321DD" w:rsidDel="00826153">
        <w:t>RRC</w:t>
      </w:r>
      <w:r w:rsidRPr="00F321DD">
        <w:t xml:space="preserve"> idle</w:t>
      </w:r>
      <w:bookmarkStart w:id="4" w:name="_Toc31705498"/>
      <w:r w:rsidRPr="00F321DD">
        <w:t xml:space="preserve"> and RRC inactive mode.</w:t>
      </w:r>
      <w:bookmarkEnd w:id="4"/>
      <w:bookmarkEnd w:id="3"/>
      <w:r w:rsidRPr="00F321DD">
        <w:t xml:space="preserve"> </w:t>
      </w:r>
    </w:p>
    <w:p w14:paraId="626011A3" w14:textId="669E128D" w:rsidR="00060E90" w:rsidRPr="00F321DD" w:rsidRDefault="00060E90" w:rsidP="00060E90">
      <w:pPr>
        <w:jc w:val="both"/>
        <w:rPr>
          <w:rFonts w:ascii="Arial" w:hAnsi="Arial" w:cs="Arial"/>
        </w:rPr>
      </w:pPr>
      <w:r w:rsidRPr="00F321DD">
        <w:rPr>
          <w:rFonts w:ascii="Arial" w:hAnsi="Arial" w:cs="Arial"/>
        </w:rPr>
        <w:t>In RRC connected mode, it should be possible to manage timing and frequency without GNSS positioning by means of closed-loop adjustment. This requires configuring measurement channels/signals (e.g. SRS) and TA/frequency offset signaling through e.g. MAC CE</w:t>
      </w:r>
      <w:r w:rsidR="00C5423A" w:rsidRPr="00F321DD">
        <w:rPr>
          <w:rFonts w:ascii="Arial" w:hAnsi="Arial" w:cs="Arial"/>
        </w:rPr>
        <w:t xml:space="preserve"> and/or DCI</w:t>
      </w:r>
      <w:r w:rsidRPr="00F321DD">
        <w:rPr>
          <w:rFonts w:ascii="Arial" w:hAnsi="Arial" w:cs="Arial"/>
        </w:rPr>
        <w:t xml:space="preserve">. But the use of GNSS in RRC connected will reduce reference signal transmission and signaling load and should be beneficial to support at least as an optional feature. </w:t>
      </w:r>
    </w:p>
    <w:p w14:paraId="1A918225" w14:textId="77777777" w:rsidR="00060E90" w:rsidRPr="00F321DD" w:rsidRDefault="00060E90" w:rsidP="00060E90">
      <w:pPr>
        <w:pStyle w:val="Proposal"/>
        <w:tabs>
          <w:tab w:val="num" w:pos="2439"/>
        </w:tabs>
      </w:pPr>
      <w:bookmarkStart w:id="5" w:name="_Toc31705500"/>
      <w:bookmarkStart w:id="6" w:name="_Hlk31292077"/>
      <w:bookmarkStart w:id="7" w:name="_Toc47672503"/>
      <w:r w:rsidRPr="00F321DD">
        <w:t>RAN1 to determine the need for support of GNSS in RRC connected for the purpose of timing and frequency adjustment.</w:t>
      </w:r>
      <w:bookmarkEnd w:id="7"/>
      <w:r w:rsidRPr="00F321DD">
        <w:t xml:space="preserve"> </w:t>
      </w:r>
      <w:bookmarkEnd w:id="5"/>
    </w:p>
    <w:bookmarkEnd w:id="6"/>
    <w:p w14:paraId="5B3A7671" w14:textId="77777777" w:rsidR="00060E90" w:rsidRPr="00F321DD" w:rsidRDefault="00060E90" w:rsidP="00060E90">
      <w:pPr>
        <w:jc w:val="both"/>
        <w:rPr>
          <w:rFonts w:ascii="Arial" w:hAnsi="Arial" w:cs="Arial"/>
        </w:rPr>
      </w:pPr>
      <w:r w:rsidRPr="00F321DD">
        <w:rPr>
          <w:rFonts w:ascii="Arial" w:hAnsi="Arial" w:cs="Arial"/>
        </w:rPr>
        <w:t>To facilitate GNSS operation in RRC connected, it may for some UE implementations require measurement gaps for GNSS positioning to facilitate a reuse of RF components between NR and GNSS systems. High-end UEs may on the other hand support simultaneous GNSS and NR operation to avoid the need for NR based closed-loop timing and frequency offset adjustment and measurement gaps.</w:t>
      </w:r>
    </w:p>
    <w:p w14:paraId="6CDEC54F" w14:textId="77777777" w:rsidR="00060E90" w:rsidRPr="00F321DD" w:rsidRDefault="00060E90" w:rsidP="00060E90">
      <w:pPr>
        <w:pStyle w:val="Proposal"/>
        <w:tabs>
          <w:tab w:val="num" w:pos="2439"/>
        </w:tabs>
      </w:pPr>
      <w:bookmarkStart w:id="8" w:name="_Toc47672504"/>
      <w:r w:rsidRPr="00F321DD">
        <w:t>RAN1 to determine the need for support of GNSS measurement gaps in RRC connected.</w:t>
      </w:r>
      <w:bookmarkEnd w:id="8"/>
    </w:p>
    <w:p w14:paraId="394455FF" w14:textId="675EACB6" w:rsidR="00060E90" w:rsidRPr="00F321DD" w:rsidRDefault="00060E90" w:rsidP="00060E90">
      <w:pPr>
        <w:pStyle w:val="Proposal"/>
        <w:tabs>
          <w:tab w:val="num" w:pos="2439"/>
        </w:tabs>
      </w:pPr>
      <w:bookmarkStart w:id="9" w:name="_Toc31705501"/>
      <w:bookmarkStart w:id="10" w:name="_Toc47672505"/>
      <w:r w:rsidRPr="00F321DD">
        <w:t>RAN1 to determine if NR NTN UE should indicate</w:t>
      </w:r>
      <w:r w:rsidR="00C5423A" w:rsidRPr="00F321DD">
        <w:t xml:space="preserve"> capability</w:t>
      </w:r>
      <w:r w:rsidRPr="00F321DD">
        <w:t xml:space="preserve"> support for simultaneous GNSS and NR operation, with or without GNSS measurement gaps.</w:t>
      </w:r>
      <w:bookmarkEnd w:id="9"/>
      <w:bookmarkEnd w:id="10"/>
    </w:p>
    <w:p w14:paraId="0DA3D981" w14:textId="6A585B19" w:rsidR="00060E90" w:rsidRPr="00F321DD" w:rsidRDefault="00060E90" w:rsidP="00060E90">
      <w:pPr>
        <w:jc w:val="both"/>
        <w:rPr>
          <w:rFonts w:ascii="Arial" w:hAnsi="Arial" w:cs="Arial"/>
        </w:rPr>
      </w:pPr>
      <w:r w:rsidRPr="00F321DD">
        <w:rPr>
          <w:rFonts w:ascii="Arial" w:hAnsi="Arial" w:cs="Arial"/>
        </w:rPr>
        <w:t xml:space="preserve">It should be noted that a GNSS position is expected to have a limited validity time, e.g. depending on the UE speed and the UE position accuracy required for pre-compensation. The impact of an </w:t>
      </w:r>
      <w:r w:rsidRPr="00F321DD">
        <w:rPr>
          <w:rFonts w:ascii="Arial" w:hAnsi="Arial" w:cs="Arial"/>
        </w:rPr>
        <w:lastRenderedPageBreak/>
        <w:t>aged UE position estimate on propagation delay and Doppler shift prediction is in detail investigated in</w:t>
      </w:r>
      <w:r w:rsidR="00282C71" w:rsidRPr="00F321DD">
        <w:rPr>
          <w:rFonts w:ascii="Arial" w:hAnsi="Arial" w:cs="Arial"/>
        </w:rPr>
        <w:t xml:space="preserve"> Annex A3</w:t>
      </w:r>
      <w:r w:rsidRPr="00F321DD">
        <w:rPr>
          <w:rFonts w:ascii="Arial" w:hAnsi="Arial" w:cs="Arial"/>
        </w:rPr>
        <w:t>, where</w:t>
      </w:r>
      <w:r w:rsidR="00C5423A" w:rsidRPr="00F321DD">
        <w:rPr>
          <w:rFonts w:ascii="Arial" w:hAnsi="Arial" w:cs="Arial"/>
        </w:rPr>
        <w:t xml:space="preserve"> </w:t>
      </w:r>
      <w:r w:rsidRPr="00F321DD">
        <w:rPr>
          <w:rFonts w:ascii="Arial" w:hAnsi="Arial" w:cs="Arial"/>
        </w:rPr>
        <w:t>a significant impact</w:t>
      </w:r>
      <w:r w:rsidR="00C5423A" w:rsidRPr="00F321DD">
        <w:rPr>
          <w:rFonts w:ascii="Arial" w:hAnsi="Arial" w:cs="Arial"/>
        </w:rPr>
        <w:t xml:space="preserve"> </w:t>
      </w:r>
      <w:r w:rsidR="00282C71" w:rsidRPr="00F321DD">
        <w:rPr>
          <w:rFonts w:ascii="Arial" w:hAnsi="Arial" w:cs="Arial"/>
        </w:rPr>
        <w:t>is observed for high UE speed</w:t>
      </w:r>
      <w:r w:rsidRPr="00F321DD">
        <w:rPr>
          <w:rFonts w:ascii="Arial" w:hAnsi="Arial" w:cs="Arial"/>
        </w:rPr>
        <w:t>.</w:t>
      </w:r>
    </w:p>
    <w:p w14:paraId="61DBD060" w14:textId="77777777" w:rsidR="00060E90" w:rsidRPr="00F321DD" w:rsidRDefault="00060E90" w:rsidP="00060E90">
      <w:pPr>
        <w:pStyle w:val="Proposal"/>
        <w:tabs>
          <w:tab w:val="num" w:pos="2439"/>
        </w:tabs>
      </w:pPr>
      <w:bookmarkStart w:id="11" w:name="_Toc47672506"/>
      <w:r w:rsidRPr="00F321DD">
        <w:t>A GNSS position acquired by an NR NTN UE should be associated with a timer, after which’s expiration the position is deemed no longer useful.</w:t>
      </w:r>
      <w:bookmarkEnd w:id="11"/>
      <w:r w:rsidRPr="00F321DD">
        <w:t xml:space="preserve"> </w:t>
      </w:r>
    </w:p>
    <w:p w14:paraId="48D5DAA7" w14:textId="77777777" w:rsidR="00060E90" w:rsidRPr="00F321DD" w:rsidRDefault="00060E90" w:rsidP="00060E90">
      <w:pPr>
        <w:jc w:val="both"/>
        <w:rPr>
          <w:rFonts w:ascii="Arial" w:hAnsi="Arial" w:cs="Arial"/>
        </w:rPr>
      </w:pPr>
      <w:r w:rsidRPr="00F321DD">
        <w:rPr>
          <w:rFonts w:ascii="Arial" w:hAnsi="Arial" w:cs="Arial"/>
        </w:rPr>
        <w:t>RAN1 also need to discuss how to deal with the case of no GNSS coverage. Can it then be assumed that also NR NTN is out of coverage? It’s e.g. reasonable to assume that neither of the two systems will provide indoor coverage. However, there may be corner cases where e.g. a mountain or a high-rise building blocks line-of-sight to a majority of the GNSS satellites but not all NTN satellites. How to deal with this case needs further discussion.</w:t>
      </w:r>
    </w:p>
    <w:p w14:paraId="4F320219" w14:textId="77777777" w:rsidR="00060E90" w:rsidRPr="00F321DD" w:rsidRDefault="00060E90" w:rsidP="00060E90">
      <w:pPr>
        <w:pStyle w:val="Proposal"/>
        <w:tabs>
          <w:tab w:val="num" w:pos="2439"/>
        </w:tabs>
      </w:pPr>
      <w:bookmarkStart w:id="12" w:name="_Toc47672507"/>
      <w:r w:rsidRPr="00F321DD">
        <w:t>RAN1 to determine the relevance of the case of NTN coverage but no GNSS coverage.</w:t>
      </w:r>
      <w:bookmarkEnd w:id="12"/>
    </w:p>
    <w:p w14:paraId="4C875338" w14:textId="77777777" w:rsidR="00060E90" w:rsidRPr="00DF0849" w:rsidRDefault="00060E90" w:rsidP="00060E90">
      <w:pPr>
        <w:pStyle w:val="Heading1"/>
        <w:rPr>
          <w:lang w:val="en-US"/>
        </w:rPr>
      </w:pPr>
      <w:r w:rsidRPr="00DF0849">
        <w:rPr>
          <w:lang w:val="en-US"/>
        </w:rPr>
        <w:t>4</w:t>
      </w:r>
      <w:r w:rsidRPr="00DF0849">
        <w:rPr>
          <w:lang w:val="en-US"/>
        </w:rPr>
        <w:tab/>
        <w:t>Ephemeris requirements</w:t>
      </w:r>
    </w:p>
    <w:p w14:paraId="31EF9A59" w14:textId="261C1CD8" w:rsidR="00D21C75" w:rsidRPr="00F321DD" w:rsidRDefault="00060E90" w:rsidP="006E5E43">
      <w:pPr>
        <w:jc w:val="both"/>
        <w:rPr>
          <w:rFonts w:ascii="Arial" w:hAnsi="Arial" w:cs="Arial"/>
        </w:rPr>
      </w:pPr>
      <w:r w:rsidRPr="00DF0849">
        <w:rPr>
          <w:rFonts w:ascii="Arial" w:hAnsi="Arial" w:cs="Arial"/>
        </w:rPr>
        <w:t xml:space="preserve">The calculation of timing and frequency offset pre-compensation relies not only on the UE position, but also on UE possession of accurate position and velocity information for the serving satellite. </w:t>
      </w:r>
      <w:r w:rsidR="00471095" w:rsidRPr="00DF0849">
        <w:rPr>
          <w:rFonts w:ascii="Arial" w:hAnsi="Arial" w:cs="Arial"/>
        </w:rPr>
        <w:t>The impact of ephemeris inaccuracy on propagation delay and Doppler shift prediction is investigated in Annex A2. Based on this investigation we can conclude that the impact on timing and frequency accuracy is significant unless the satellite ephemeris data provides sufficien</w:t>
      </w:r>
      <w:r w:rsidR="00A75267">
        <w:rPr>
          <w:rFonts w:ascii="Arial" w:hAnsi="Arial" w:cs="Arial"/>
        </w:rPr>
        <w:t>t</w:t>
      </w:r>
      <w:r w:rsidR="00471095" w:rsidRPr="00DF0849">
        <w:rPr>
          <w:rFonts w:ascii="Arial" w:hAnsi="Arial" w:cs="Arial"/>
        </w:rPr>
        <w:t xml:space="preserve"> accuracy.</w:t>
      </w:r>
    </w:p>
    <w:p w14:paraId="7C50C6FD" w14:textId="614B3BD5" w:rsidR="006E5E43" w:rsidRPr="00F321DD" w:rsidRDefault="006E5E43" w:rsidP="006E5E43">
      <w:pPr>
        <w:jc w:val="both"/>
        <w:rPr>
          <w:rFonts w:ascii="Arial" w:hAnsi="Arial" w:cs="Arial"/>
        </w:rPr>
      </w:pPr>
      <w:r w:rsidRPr="00F321DD">
        <w:rPr>
          <w:rFonts w:ascii="Arial" w:hAnsi="Arial" w:cs="Arial"/>
        </w:rPr>
        <w:t>A satellite orbit can be fully described using 6 parameters. Many different representations are possible.</w:t>
      </w:r>
    </w:p>
    <w:p w14:paraId="04937FA4" w14:textId="52A81E0A" w:rsidR="00D43015" w:rsidRPr="00DF0849" w:rsidRDefault="00C12ABB" w:rsidP="00DF0849">
      <w:pPr>
        <w:pStyle w:val="ListParagraph"/>
        <w:numPr>
          <w:ilvl w:val="0"/>
          <w:numId w:val="18"/>
        </w:numPr>
        <w:jc w:val="both"/>
        <w:rPr>
          <w:rFonts w:ascii="Arial" w:hAnsi="Arial" w:cs="Arial"/>
          <w:lang w:val="en-US" w:eastAsia="ja-JP"/>
        </w:rPr>
      </w:pPr>
      <w:r w:rsidRPr="00F321DD">
        <w:rPr>
          <w:rFonts w:ascii="Arial" w:hAnsi="Arial" w:cs="Arial"/>
          <w:lang w:val="en-US"/>
        </w:rPr>
        <w:t xml:space="preserve">Orbital elements: </w:t>
      </w:r>
      <w:r w:rsidR="00D43015" w:rsidRPr="00F321DD">
        <w:rPr>
          <w:rFonts w:ascii="Arial" w:hAnsi="Arial" w:cs="Arial"/>
          <w:lang w:val="en-US"/>
        </w:rPr>
        <w:t>O</w:t>
      </w:r>
      <w:r w:rsidRPr="002C2BDB">
        <w:rPr>
          <w:rFonts w:ascii="Arial" w:hAnsi="Arial" w:cs="Arial"/>
          <w:lang w:val="en-US"/>
        </w:rPr>
        <w:t>ne example is Keplerian</w:t>
      </w:r>
      <w:r w:rsidRPr="00725041">
        <w:rPr>
          <w:rFonts w:ascii="Arial" w:hAnsi="Arial" w:cs="Arial"/>
          <w:lang w:val="en-US"/>
        </w:rPr>
        <w:t xml:space="preserve"> Orbit </w:t>
      </w:r>
      <w:r w:rsidRPr="00AD3B93">
        <w:rPr>
          <w:rFonts w:ascii="Arial" w:hAnsi="Arial" w:cs="Arial"/>
          <w:lang w:val="en-US"/>
        </w:rPr>
        <w:t>Elements</w:t>
      </w:r>
      <w:r w:rsidR="006E5E43" w:rsidRPr="00DF0849">
        <w:rPr>
          <w:rFonts w:ascii="Arial" w:hAnsi="Arial" w:cs="Arial"/>
          <w:lang w:val="en-US"/>
        </w:rPr>
        <w:t xml:space="preserve"> (</w:t>
      </w:r>
      <w:r w:rsidR="006E5E43" w:rsidRPr="00DF0849">
        <w:rPr>
          <w:rFonts w:ascii="Arial" w:hAnsi="Arial" w:cs="Arial"/>
          <w:lang w:val="en-US" w:eastAsia="ja-JP"/>
        </w:rPr>
        <w:t xml:space="preserve">a, </w:t>
      </w:r>
      <w:r w:rsidR="00D43015" w:rsidRPr="00F321DD">
        <w:rPr>
          <w:rFonts w:ascii="Arial" w:hAnsi="Arial" w:cs="Arial"/>
          <w:lang w:val="en-US" w:eastAsia="ja-JP"/>
        </w:rPr>
        <w:t>e</w:t>
      </w:r>
      <w:r w:rsidR="006E5E43" w:rsidRPr="00DF0849">
        <w:rPr>
          <w:rFonts w:ascii="Arial" w:hAnsi="Arial" w:cs="Arial"/>
          <w:lang w:val="en-US" w:eastAsia="ja-JP"/>
        </w:rPr>
        <w:t xml:space="preserve">, </w:t>
      </w:r>
      <w:r w:rsidR="00D43015" w:rsidRPr="00DF0849">
        <w:rPr>
          <w:rFonts w:ascii="Arial" w:hAnsi="Arial" w:cs="Arial"/>
          <w:lang w:val="en-US" w:eastAsia="ja-JP"/>
        </w:rPr>
        <w:t>ω</w:t>
      </w:r>
      <w:r w:rsidR="00D43015" w:rsidRPr="00F321DD">
        <w:rPr>
          <w:rFonts w:ascii="Arial" w:hAnsi="Arial" w:cs="Arial"/>
          <w:lang w:val="en-US" w:eastAsia="ja-JP"/>
        </w:rPr>
        <w:t>,</w:t>
      </w:r>
      <w:r w:rsidR="00D43015" w:rsidRPr="00DF0849">
        <w:rPr>
          <w:rFonts w:ascii="Arial" w:hAnsi="Arial" w:cs="Arial"/>
          <w:lang w:val="en-US" w:eastAsia="ja-JP"/>
        </w:rPr>
        <w:t xml:space="preserve"> </w:t>
      </w:r>
      <w:r w:rsidR="006E5E43" w:rsidRPr="00DF0849">
        <w:rPr>
          <w:rFonts w:ascii="Arial" w:hAnsi="Arial" w:cs="Arial"/>
          <w:lang w:val="en-US" w:eastAsia="ja-JP"/>
        </w:rPr>
        <w:t xml:space="preserve">Ω, </w:t>
      </w:r>
      <w:r w:rsidR="00D43015" w:rsidRPr="00DF0849">
        <w:rPr>
          <w:rFonts w:ascii="Arial" w:hAnsi="Arial" w:cs="Arial"/>
          <w:lang w:val="en-US" w:eastAsia="ja-JP"/>
        </w:rPr>
        <w:t>i,</w:t>
      </w:r>
      <w:r w:rsidR="006E5E43" w:rsidRPr="00DF0849">
        <w:rPr>
          <w:rFonts w:ascii="Arial" w:hAnsi="Arial" w:cs="Arial"/>
          <w:lang w:val="en-US" w:eastAsia="ja-JP"/>
        </w:rPr>
        <w:t xml:space="preserve"> </w:t>
      </w:r>
      <w:r w:rsidR="00D43015" w:rsidRPr="00DF0849">
        <w:rPr>
          <w:rFonts w:ascii="Arial" w:hAnsi="Arial" w:cs="Arial"/>
          <w:lang w:val="en-US" w:eastAsia="ja-JP"/>
        </w:rPr>
        <w:t>M</w:t>
      </w:r>
      <w:r w:rsidR="00D43015" w:rsidRPr="00DF0849">
        <w:rPr>
          <w:rFonts w:ascii="Arial" w:hAnsi="Arial" w:cs="Arial"/>
          <w:vertAlign w:val="subscript"/>
          <w:lang w:val="en-US" w:eastAsia="ja-JP"/>
        </w:rPr>
        <w:t>0</w:t>
      </w:r>
      <w:r w:rsidR="006E5E43" w:rsidRPr="00DF0849">
        <w:rPr>
          <w:rFonts w:ascii="Arial" w:hAnsi="Arial" w:cs="Arial"/>
          <w:lang w:val="en-US"/>
        </w:rPr>
        <w:t xml:space="preserve">). </w:t>
      </w:r>
    </w:p>
    <w:p w14:paraId="1225ADA0" w14:textId="098DD6BC" w:rsidR="00D43015" w:rsidRPr="00DF0849" w:rsidRDefault="00D43015" w:rsidP="00DF0849">
      <w:pPr>
        <w:pStyle w:val="ListParagraph"/>
        <w:numPr>
          <w:ilvl w:val="1"/>
          <w:numId w:val="18"/>
        </w:numPr>
        <w:jc w:val="both"/>
        <w:rPr>
          <w:rFonts w:ascii="Arial" w:hAnsi="Arial" w:cs="Arial"/>
          <w:lang w:val="en-US" w:eastAsia="ja-JP"/>
        </w:rPr>
      </w:pPr>
      <w:r w:rsidRPr="00DF0849">
        <w:rPr>
          <w:rFonts w:ascii="Arial" w:hAnsi="Arial" w:cs="Arial"/>
          <w:lang w:val="en-US" w:eastAsia="ja-JP"/>
        </w:rPr>
        <w:t>Semi-major</w:t>
      </w:r>
      <w:r w:rsidRPr="00F321DD">
        <w:rPr>
          <w:rFonts w:ascii="Arial" w:hAnsi="Arial" w:cs="Arial"/>
          <w:lang w:val="en-US" w:eastAsia="ja-JP"/>
        </w:rPr>
        <w:t xml:space="preserve"> </w:t>
      </w:r>
      <w:r w:rsidRPr="00DF0849">
        <w:rPr>
          <w:rFonts w:ascii="Arial" w:hAnsi="Arial" w:cs="Arial"/>
          <w:lang w:val="en-US" w:eastAsia="ja-JP"/>
        </w:rPr>
        <w:t>axis a [m]</w:t>
      </w:r>
    </w:p>
    <w:p w14:paraId="0C1F375F" w14:textId="628F98D2" w:rsidR="00D43015" w:rsidRPr="00DF0849" w:rsidRDefault="00D43015" w:rsidP="00DF0849">
      <w:pPr>
        <w:pStyle w:val="ListParagraph"/>
        <w:numPr>
          <w:ilvl w:val="1"/>
          <w:numId w:val="18"/>
        </w:numPr>
        <w:jc w:val="both"/>
        <w:rPr>
          <w:rFonts w:ascii="Arial" w:hAnsi="Arial" w:cs="Arial"/>
          <w:lang w:val="en-US" w:eastAsia="ja-JP"/>
        </w:rPr>
      </w:pPr>
      <w:r w:rsidRPr="00DF0849">
        <w:rPr>
          <w:rFonts w:ascii="Arial" w:hAnsi="Arial" w:cs="Arial"/>
          <w:lang w:val="en-US" w:eastAsia="ja-JP"/>
        </w:rPr>
        <w:t>Eccentricity e [1]</w:t>
      </w:r>
    </w:p>
    <w:p w14:paraId="34682745" w14:textId="77777777" w:rsidR="00D43015" w:rsidRPr="00DF0849" w:rsidRDefault="00D43015" w:rsidP="00DF0849">
      <w:pPr>
        <w:pStyle w:val="ListParagraph"/>
        <w:numPr>
          <w:ilvl w:val="1"/>
          <w:numId w:val="18"/>
        </w:numPr>
        <w:jc w:val="both"/>
        <w:rPr>
          <w:rFonts w:ascii="Arial" w:hAnsi="Arial" w:cs="Arial"/>
          <w:lang w:val="en-US" w:eastAsia="ja-JP"/>
        </w:rPr>
      </w:pPr>
      <w:r w:rsidRPr="00DF0849">
        <w:rPr>
          <w:rFonts w:ascii="Arial" w:hAnsi="Arial" w:cs="Arial"/>
          <w:lang w:val="en-US" w:eastAsia="ja-JP"/>
        </w:rPr>
        <w:t>Argument</w:t>
      </w:r>
      <w:r w:rsidRPr="00F321DD">
        <w:rPr>
          <w:rFonts w:ascii="Arial" w:hAnsi="Arial" w:cs="Arial"/>
          <w:lang w:val="en-US" w:eastAsia="ja-JP"/>
        </w:rPr>
        <w:t xml:space="preserve"> </w:t>
      </w:r>
      <w:r w:rsidRPr="00DF0849">
        <w:rPr>
          <w:rFonts w:ascii="Arial" w:hAnsi="Arial" w:cs="Arial"/>
          <w:lang w:val="en-US" w:eastAsia="ja-JP"/>
        </w:rPr>
        <w:t>of</w:t>
      </w:r>
      <w:r w:rsidRPr="00F321DD">
        <w:rPr>
          <w:rFonts w:ascii="Arial" w:hAnsi="Arial" w:cs="Arial"/>
          <w:lang w:val="en-US" w:eastAsia="ja-JP"/>
        </w:rPr>
        <w:t xml:space="preserve"> </w:t>
      </w:r>
      <w:r w:rsidRPr="00DF0849">
        <w:rPr>
          <w:rFonts w:ascii="Arial" w:hAnsi="Arial" w:cs="Arial"/>
          <w:lang w:val="en-US" w:eastAsia="ja-JP"/>
        </w:rPr>
        <w:t xml:space="preserve">periapsis ω [rad] </w:t>
      </w:r>
    </w:p>
    <w:p w14:paraId="3DBB817C" w14:textId="4A29B87D" w:rsidR="00D43015" w:rsidRPr="00DF0849" w:rsidRDefault="00D43015" w:rsidP="00DF0849">
      <w:pPr>
        <w:pStyle w:val="ListParagraph"/>
        <w:numPr>
          <w:ilvl w:val="1"/>
          <w:numId w:val="18"/>
        </w:numPr>
        <w:jc w:val="both"/>
        <w:rPr>
          <w:rFonts w:ascii="Arial" w:hAnsi="Arial" w:cs="Arial"/>
          <w:lang w:val="en-US" w:eastAsia="ja-JP"/>
        </w:rPr>
      </w:pPr>
      <w:r w:rsidRPr="00DF0849">
        <w:rPr>
          <w:rFonts w:ascii="Arial" w:hAnsi="Arial" w:cs="Arial"/>
          <w:lang w:val="en-US" w:eastAsia="ja-JP"/>
        </w:rPr>
        <w:t>Longitude</w:t>
      </w:r>
      <w:r w:rsidRPr="00F321DD">
        <w:rPr>
          <w:rFonts w:ascii="Arial" w:hAnsi="Arial" w:cs="Arial"/>
          <w:lang w:val="en-US" w:eastAsia="ja-JP"/>
        </w:rPr>
        <w:t xml:space="preserve"> </w:t>
      </w:r>
      <w:r w:rsidRPr="00DF0849">
        <w:rPr>
          <w:rFonts w:ascii="Arial" w:hAnsi="Arial" w:cs="Arial"/>
          <w:lang w:val="en-US" w:eastAsia="ja-JP"/>
        </w:rPr>
        <w:t>of</w:t>
      </w:r>
      <w:r w:rsidRPr="00F321DD">
        <w:rPr>
          <w:rFonts w:ascii="Arial" w:hAnsi="Arial" w:cs="Arial"/>
          <w:lang w:val="en-US" w:eastAsia="ja-JP"/>
        </w:rPr>
        <w:t xml:space="preserve"> </w:t>
      </w:r>
      <w:r w:rsidRPr="00DF0849">
        <w:rPr>
          <w:rFonts w:ascii="Arial" w:hAnsi="Arial" w:cs="Arial"/>
          <w:lang w:val="en-US" w:eastAsia="ja-JP"/>
        </w:rPr>
        <w:t>ascending</w:t>
      </w:r>
      <w:r w:rsidRPr="00F321DD">
        <w:rPr>
          <w:rFonts w:ascii="Arial" w:hAnsi="Arial" w:cs="Arial"/>
          <w:lang w:val="en-US" w:eastAsia="ja-JP"/>
        </w:rPr>
        <w:t xml:space="preserve"> </w:t>
      </w:r>
      <w:r w:rsidRPr="00DF0849">
        <w:rPr>
          <w:rFonts w:ascii="Arial" w:hAnsi="Arial" w:cs="Arial"/>
          <w:lang w:val="en-US" w:eastAsia="ja-JP"/>
        </w:rPr>
        <w:t>node Ω [rad]</w:t>
      </w:r>
    </w:p>
    <w:p w14:paraId="44A83D8B" w14:textId="209B4D24" w:rsidR="00D43015" w:rsidRPr="00DF0849" w:rsidRDefault="00D43015" w:rsidP="00DF0849">
      <w:pPr>
        <w:pStyle w:val="ListParagraph"/>
        <w:numPr>
          <w:ilvl w:val="1"/>
          <w:numId w:val="18"/>
        </w:numPr>
        <w:jc w:val="both"/>
        <w:rPr>
          <w:rFonts w:ascii="Arial" w:hAnsi="Arial" w:cs="Arial"/>
          <w:lang w:val="en-US" w:eastAsia="ja-JP"/>
        </w:rPr>
      </w:pPr>
      <w:r w:rsidRPr="00DF0849">
        <w:rPr>
          <w:rFonts w:ascii="Arial" w:hAnsi="Arial" w:cs="Arial"/>
          <w:lang w:val="en-US" w:eastAsia="ja-JP"/>
        </w:rPr>
        <w:t>Inclination i [rad]</w:t>
      </w:r>
    </w:p>
    <w:p w14:paraId="3D876ED4" w14:textId="161FB1DB" w:rsidR="00D43015" w:rsidRPr="00DF0849" w:rsidRDefault="00D43015" w:rsidP="00DF0849">
      <w:pPr>
        <w:pStyle w:val="ListParagraph"/>
        <w:numPr>
          <w:ilvl w:val="1"/>
          <w:numId w:val="18"/>
        </w:numPr>
        <w:jc w:val="both"/>
        <w:rPr>
          <w:rFonts w:ascii="Arial" w:hAnsi="Arial" w:cs="Arial"/>
          <w:lang w:val="en-US" w:eastAsia="ja-JP"/>
        </w:rPr>
      </w:pPr>
      <w:r w:rsidRPr="00DF0849">
        <w:rPr>
          <w:rFonts w:ascii="Arial" w:hAnsi="Arial" w:cs="Arial"/>
          <w:lang w:val="en-US" w:eastAsia="ja-JP"/>
        </w:rPr>
        <w:t>Mean</w:t>
      </w:r>
      <w:r w:rsidRPr="00F321DD">
        <w:rPr>
          <w:rFonts w:ascii="Arial" w:hAnsi="Arial" w:cs="Arial"/>
          <w:lang w:val="en-US" w:eastAsia="ja-JP"/>
        </w:rPr>
        <w:t xml:space="preserve"> </w:t>
      </w:r>
      <w:r w:rsidRPr="00DF0849">
        <w:rPr>
          <w:rFonts w:ascii="Arial" w:hAnsi="Arial" w:cs="Arial"/>
          <w:lang w:val="en-US" w:eastAsia="ja-JP"/>
        </w:rPr>
        <w:t>anomaly M</w:t>
      </w:r>
      <w:r w:rsidRPr="00DF0849">
        <w:rPr>
          <w:rFonts w:ascii="Arial" w:hAnsi="Arial" w:cs="Arial"/>
          <w:vertAlign w:val="subscript"/>
          <w:lang w:val="en-US" w:eastAsia="ja-JP"/>
        </w:rPr>
        <w:t>0</w:t>
      </w:r>
      <w:r w:rsidRPr="00DF0849">
        <w:rPr>
          <w:rFonts w:ascii="Arial" w:hAnsi="Arial" w:cs="Arial"/>
          <w:lang w:val="en-US" w:eastAsia="ja-JP"/>
        </w:rPr>
        <w:t xml:space="preserve"> = M(t</w:t>
      </w:r>
      <w:r w:rsidRPr="00DF0849">
        <w:rPr>
          <w:rFonts w:ascii="Arial" w:hAnsi="Arial" w:cs="Arial"/>
          <w:vertAlign w:val="subscript"/>
          <w:lang w:val="en-US" w:eastAsia="ja-JP"/>
        </w:rPr>
        <w:t>0</w:t>
      </w:r>
      <w:r w:rsidRPr="00DF0849">
        <w:rPr>
          <w:rFonts w:ascii="Arial" w:hAnsi="Arial" w:cs="Arial"/>
          <w:lang w:val="en-US" w:eastAsia="ja-JP"/>
        </w:rPr>
        <w:t>) [rad] at</w:t>
      </w:r>
      <w:r w:rsidRPr="00F321DD">
        <w:rPr>
          <w:rFonts w:ascii="Arial" w:hAnsi="Arial" w:cs="Arial"/>
          <w:lang w:val="en-US" w:eastAsia="ja-JP"/>
        </w:rPr>
        <w:t xml:space="preserve"> </w:t>
      </w:r>
      <w:r w:rsidRPr="00DF0849">
        <w:rPr>
          <w:rFonts w:ascii="Arial" w:hAnsi="Arial" w:cs="Arial"/>
          <w:lang w:val="en-US" w:eastAsia="ja-JP"/>
        </w:rPr>
        <w:t>epoch t</w:t>
      </w:r>
      <w:r w:rsidRPr="00DF0849">
        <w:rPr>
          <w:rFonts w:ascii="Arial" w:hAnsi="Arial" w:cs="Arial"/>
          <w:vertAlign w:val="subscript"/>
          <w:lang w:val="en-US" w:eastAsia="ja-JP"/>
        </w:rPr>
        <w:t>0</w:t>
      </w:r>
      <w:r w:rsidRPr="00DF0849">
        <w:rPr>
          <w:rFonts w:ascii="Arial" w:hAnsi="Arial" w:cs="Arial"/>
          <w:lang w:val="en-US" w:eastAsia="ja-JP"/>
        </w:rPr>
        <w:t xml:space="preserve"> [JD]</w:t>
      </w:r>
    </w:p>
    <w:p w14:paraId="03163C30" w14:textId="61D670BB" w:rsidR="00C12ABB" w:rsidRPr="00DF0849" w:rsidRDefault="00C12ABB" w:rsidP="00DF0849">
      <w:pPr>
        <w:pStyle w:val="ListParagraph"/>
        <w:numPr>
          <w:ilvl w:val="0"/>
          <w:numId w:val="18"/>
        </w:numPr>
        <w:jc w:val="both"/>
        <w:rPr>
          <w:rFonts w:ascii="Arial" w:hAnsi="Arial" w:cs="Arial"/>
          <w:lang w:val="en-US" w:eastAsia="ja-JP"/>
        </w:rPr>
      </w:pPr>
      <w:r w:rsidRPr="00F321DD">
        <w:rPr>
          <w:rFonts w:ascii="Arial" w:hAnsi="Arial" w:cs="Arial"/>
          <w:lang w:val="en-US" w:eastAsia="ja-JP"/>
        </w:rPr>
        <w:t xml:space="preserve">Orbital state vector: </w:t>
      </w:r>
      <w:r w:rsidRPr="00DF0849">
        <w:rPr>
          <w:rFonts w:ascii="Arial" w:hAnsi="Arial" w:cs="Arial"/>
          <w:lang w:val="en-US"/>
        </w:rPr>
        <w:t xml:space="preserve">position and velocity vector (x, y, z, </w:t>
      </w:r>
      <w:proofErr w:type="spellStart"/>
      <w:r w:rsidRPr="00DF0849">
        <w:rPr>
          <w:rFonts w:ascii="Arial" w:hAnsi="Arial" w:cs="Arial"/>
          <w:lang w:val="en-US"/>
        </w:rPr>
        <w:t>v</w:t>
      </w:r>
      <w:r w:rsidRPr="00DF0849">
        <w:rPr>
          <w:rFonts w:ascii="Arial" w:hAnsi="Arial" w:cs="Arial"/>
          <w:vertAlign w:val="subscript"/>
          <w:lang w:val="en-US"/>
        </w:rPr>
        <w:t>x</w:t>
      </w:r>
      <w:proofErr w:type="spellEnd"/>
      <w:r w:rsidRPr="00DF0849">
        <w:rPr>
          <w:rFonts w:ascii="Arial" w:hAnsi="Arial" w:cs="Arial"/>
          <w:lang w:val="en-US"/>
        </w:rPr>
        <w:t xml:space="preserve">, </w:t>
      </w:r>
      <w:proofErr w:type="spellStart"/>
      <w:r w:rsidRPr="00DF0849">
        <w:rPr>
          <w:rFonts w:ascii="Arial" w:hAnsi="Arial" w:cs="Arial"/>
          <w:lang w:val="en-US"/>
        </w:rPr>
        <w:t>v</w:t>
      </w:r>
      <w:r w:rsidRPr="00DF0849">
        <w:rPr>
          <w:rFonts w:ascii="Arial" w:hAnsi="Arial" w:cs="Arial"/>
          <w:vertAlign w:val="subscript"/>
          <w:lang w:val="en-US"/>
        </w:rPr>
        <w:t>y</w:t>
      </w:r>
      <w:proofErr w:type="spellEnd"/>
      <w:r w:rsidRPr="00DF0849">
        <w:rPr>
          <w:rFonts w:ascii="Arial" w:hAnsi="Arial" w:cs="Arial"/>
          <w:lang w:val="en-US"/>
        </w:rPr>
        <w:t xml:space="preserve">, </w:t>
      </w:r>
      <w:proofErr w:type="spellStart"/>
      <w:r w:rsidRPr="00DF0849">
        <w:rPr>
          <w:rFonts w:ascii="Arial" w:hAnsi="Arial" w:cs="Arial"/>
          <w:lang w:val="en-US"/>
        </w:rPr>
        <w:t>v</w:t>
      </w:r>
      <w:r w:rsidRPr="00DF0849">
        <w:rPr>
          <w:rFonts w:ascii="Arial" w:hAnsi="Arial" w:cs="Arial"/>
          <w:vertAlign w:val="subscript"/>
          <w:lang w:val="en-US"/>
        </w:rPr>
        <w:t>z</w:t>
      </w:r>
      <w:proofErr w:type="spellEnd"/>
      <w:r w:rsidRPr="00DF0849">
        <w:rPr>
          <w:rFonts w:ascii="Arial" w:hAnsi="Arial" w:cs="Arial"/>
          <w:lang w:val="en-US"/>
        </w:rPr>
        <w:t>)</w:t>
      </w:r>
      <w:r w:rsidRPr="00F321DD">
        <w:rPr>
          <w:rFonts w:ascii="Arial" w:hAnsi="Arial" w:cs="Arial"/>
          <w:lang w:val="en-US"/>
        </w:rPr>
        <w:t xml:space="preserve"> at reference time epoch t</w:t>
      </w:r>
      <w:r w:rsidR="0004501E" w:rsidRPr="00F321DD">
        <w:rPr>
          <w:rFonts w:ascii="Arial" w:hAnsi="Arial" w:cs="Arial"/>
          <w:vertAlign w:val="subscript"/>
          <w:lang w:val="en-US"/>
        </w:rPr>
        <w:t>0</w:t>
      </w:r>
      <w:r w:rsidRPr="002C2BDB">
        <w:rPr>
          <w:rFonts w:ascii="Arial" w:hAnsi="Arial" w:cs="Arial"/>
          <w:lang w:val="en-US"/>
        </w:rPr>
        <w:t>.</w:t>
      </w:r>
    </w:p>
    <w:p w14:paraId="54AF7E1D" w14:textId="0CBE0498" w:rsidR="00C12ABB" w:rsidRPr="00F321DD" w:rsidRDefault="00153113" w:rsidP="00C12ABB">
      <w:pPr>
        <w:jc w:val="both"/>
        <w:rPr>
          <w:rFonts w:ascii="Arial" w:hAnsi="Arial" w:cs="Arial"/>
        </w:rPr>
      </w:pPr>
      <w:r w:rsidRPr="00D26A08">
        <w:rPr>
          <w:rFonts w:ascii="Arial" w:hAnsi="Arial" w:cs="Arial"/>
          <w:lang w:eastAsia="ja-JP"/>
        </w:rPr>
        <w:t xml:space="preserve">The </w:t>
      </w:r>
      <w:r w:rsidRPr="00D26A08">
        <w:rPr>
          <w:rFonts w:ascii="Arial" w:hAnsi="Arial" w:cs="Arial"/>
        </w:rPr>
        <w:t xml:space="preserve">orbital elements and </w:t>
      </w:r>
      <w:r w:rsidRPr="00F321DD">
        <w:rPr>
          <w:rFonts w:ascii="Arial" w:hAnsi="Arial" w:cs="Arial"/>
        </w:rPr>
        <w:t>orbital state vector can be translated to each other</w:t>
      </w:r>
      <w:r w:rsidR="005B7C7A" w:rsidRPr="00F321DD">
        <w:rPr>
          <w:rFonts w:ascii="Arial" w:hAnsi="Arial" w:cs="Arial"/>
        </w:rPr>
        <w:t xml:space="preserve">, e.g. the references </w:t>
      </w:r>
      <w:r w:rsidR="005B7C7A" w:rsidRPr="00D26A08">
        <w:rPr>
          <w:rFonts w:ascii="Arial" w:hAnsi="Arial" w:cs="Arial"/>
        </w:rPr>
        <w:fldChar w:fldCharType="begin"/>
      </w:r>
      <w:r w:rsidR="005B7C7A" w:rsidRPr="00F321DD">
        <w:rPr>
          <w:rFonts w:ascii="Arial" w:hAnsi="Arial" w:cs="Arial"/>
        </w:rPr>
        <w:instrText xml:space="preserve"> REF _Ref47000997 \r \h </w:instrText>
      </w:r>
      <w:r w:rsidR="005B7C7A" w:rsidRPr="00D26A08">
        <w:rPr>
          <w:rFonts w:ascii="Arial" w:hAnsi="Arial" w:cs="Arial"/>
        </w:rPr>
      </w:r>
      <w:r w:rsidR="005B7C7A" w:rsidRPr="00D26A08">
        <w:rPr>
          <w:rFonts w:ascii="Arial" w:hAnsi="Arial" w:cs="Arial"/>
        </w:rPr>
        <w:fldChar w:fldCharType="separate"/>
      </w:r>
      <w:r w:rsidR="004B737B">
        <w:rPr>
          <w:rFonts w:ascii="Arial" w:hAnsi="Arial" w:cs="Arial"/>
        </w:rPr>
        <w:t>[4]</w:t>
      </w:r>
      <w:r w:rsidR="005B7C7A" w:rsidRPr="00D26A08">
        <w:rPr>
          <w:rFonts w:ascii="Arial" w:hAnsi="Arial" w:cs="Arial"/>
        </w:rPr>
        <w:fldChar w:fldCharType="end"/>
      </w:r>
      <w:r w:rsidR="005B7C7A" w:rsidRPr="00D26A08">
        <w:rPr>
          <w:rFonts w:ascii="Arial" w:hAnsi="Arial" w:cs="Arial"/>
        </w:rPr>
        <w:t xml:space="preserve"> and </w:t>
      </w:r>
      <w:r w:rsidR="005B7C7A" w:rsidRPr="00D26A08">
        <w:rPr>
          <w:rFonts w:ascii="Arial" w:hAnsi="Arial" w:cs="Arial"/>
        </w:rPr>
        <w:fldChar w:fldCharType="begin"/>
      </w:r>
      <w:r w:rsidR="005B7C7A" w:rsidRPr="00F321DD">
        <w:rPr>
          <w:rFonts w:ascii="Arial" w:hAnsi="Arial" w:cs="Arial"/>
        </w:rPr>
        <w:instrText xml:space="preserve"> REF _Ref47001000 \r \h </w:instrText>
      </w:r>
      <w:r w:rsidR="005B7C7A" w:rsidRPr="00D26A08">
        <w:rPr>
          <w:rFonts w:ascii="Arial" w:hAnsi="Arial" w:cs="Arial"/>
        </w:rPr>
      </w:r>
      <w:r w:rsidR="005B7C7A" w:rsidRPr="00D26A08">
        <w:rPr>
          <w:rFonts w:ascii="Arial" w:hAnsi="Arial" w:cs="Arial"/>
        </w:rPr>
        <w:fldChar w:fldCharType="separate"/>
      </w:r>
      <w:r w:rsidR="004B737B">
        <w:rPr>
          <w:rFonts w:ascii="Arial" w:hAnsi="Arial" w:cs="Arial"/>
        </w:rPr>
        <w:t>[5]</w:t>
      </w:r>
      <w:r w:rsidR="005B7C7A" w:rsidRPr="00D26A08">
        <w:rPr>
          <w:rFonts w:ascii="Arial" w:hAnsi="Arial" w:cs="Arial"/>
        </w:rPr>
        <w:fldChar w:fldCharType="end"/>
      </w:r>
      <w:r w:rsidR="005B7C7A" w:rsidRPr="00D26A08">
        <w:rPr>
          <w:rFonts w:ascii="Arial" w:hAnsi="Arial" w:cs="Arial"/>
        </w:rPr>
        <w:t xml:space="preserve"> describe how orbital elements can be translated to state vector, and vice versa, respectively.</w:t>
      </w:r>
    </w:p>
    <w:p w14:paraId="013CDD8E" w14:textId="22A891EB" w:rsidR="005B7C7A" w:rsidRPr="00F321DD" w:rsidRDefault="005B7C7A" w:rsidP="00C12ABB">
      <w:pPr>
        <w:jc w:val="both"/>
        <w:rPr>
          <w:rFonts w:ascii="Arial" w:hAnsi="Arial" w:cs="Arial"/>
        </w:rPr>
      </w:pPr>
      <w:r w:rsidRPr="00F321DD">
        <w:rPr>
          <w:rFonts w:ascii="Arial" w:hAnsi="Arial" w:cs="Arial"/>
        </w:rPr>
        <w:t>When it comes to calculating timing and Doppler, it might be tempting to use state vector as it allows for straightforward calculation. However, it should be noted that the state vector is associated with a reference time, whether it is implicit or explicit. In NTN, UE would need to derive satellite position, timing and/or Doppler at a time different from the reference time</w:t>
      </w:r>
      <w:r w:rsidR="00C46708" w:rsidRPr="00F321DD">
        <w:rPr>
          <w:rFonts w:ascii="Arial" w:hAnsi="Arial" w:cs="Arial"/>
        </w:rPr>
        <w:t xml:space="preserve"> for e.g. </w:t>
      </w:r>
      <w:r w:rsidR="00C46708" w:rsidRPr="00F321DD">
        <w:rPr>
          <w:rFonts w:ascii="Arial" w:hAnsi="Arial" w:cs="Arial"/>
          <w:lang w:eastAsia="ja-JP"/>
        </w:rPr>
        <w:t>UE autonomous timing and frequency adjustment, random access at a different time, etc</w:t>
      </w:r>
      <w:r w:rsidRPr="00F321DD">
        <w:rPr>
          <w:rFonts w:ascii="Arial" w:hAnsi="Arial" w:cs="Arial"/>
        </w:rPr>
        <w:t>. In addition,</w:t>
      </w:r>
      <w:r w:rsidR="003D5B65" w:rsidRPr="00F321DD">
        <w:rPr>
          <w:rFonts w:ascii="Arial" w:hAnsi="Arial" w:cs="Arial"/>
        </w:rPr>
        <w:t xml:space="preserve"> besides the current serving satellite,</w:t>
      </w:r>
      <w:r w:rsidRPr="00F321DD">
        <w:rPr>
          <w:rFonts w:ascii="Arial" w:hAnsi="Arial" w:cs="Arial"/>
        </w:rPr>
        <w:t xml:space="preserve"> UE may need information about other satellites for </w:t>
      </w:r>
      <w:r w:rsidR="0004501E" w:rsidRPr="00F321DD">
        <w:rPr>
          <w:rFonts w:ascii="Arial" w:hAnsi="Arial" w:cs="Arial"/>
        </w:rPr>
        <w:t xml:space="preserve">the </w:t>
      </w:r>
      <w:r w:rsidRPr="00F321DD">
        <w:rPr>
          <w:rFonts w:ascii="Arial" w:hAnsi="Arial" w:cs="Arial"/>
        </w:rPr>
        <w:t xml:space="preserve">purposes </w:t>
      </w:r>
      <w:r w:rsidR="0004501E" w:rsidRPr="00F321DD">
        <w:rPr>
          <w:rFonts w:ascii="Arial" w:hAnsi="Arial" w:cs="Arial"/>
        </w:rPr>
        <w:t>of e.g.</w:t>
      </w:r>
      <w:r w:rsidRPr="00F321DD">
        <w:rPr>
          <w:rFonts w:ascii="Arial" w:hAnsi="Arial" w:cs="Arial"/>
        </w:rPr>
        <w:t xml:space="preserve"> </w:t>
      </w:r>
      <w:r w:rsidRPr="00F321DD">
        <w:rPr>
          <w:rFonts w:ascii="Arial" w:hAnsi="Arial" w:cs="Arial"/>
          <w:lang w:eastAsia="ja-JP"/>
        </w:rPr>
        <w:t xml:space="preserve">RRM measurements, idle/inactive measurements, handover, etc. As a result, it is not obvious how </w:t>
      </w:r>
      <w:r w:rsidR="003D5B65" w:rsidRPr="00F321DD">
        <w:rPr>
          <w:rFonts w:ascii="Arial" w:hAnsi="Arial" w:cs="Arial"/>
          <w:lang w:eastAsia="ja-JP"/>
        </w:rPr>
        <w:t xml:space="preserve">to best represent satellite </w:t>
      </w:r>
      <w:r w:rsidR="003D5B65" w:rsidRPr="00F321DD">
        <w:rPr>
          <w:rFonts w:ascii="Arial" w:hAnsi="Arial" w:cs="Arial"/>
        </w:rPr>
        <w:t>ephemeris data to meet different purposes, which requires careful consideration and thorough discussion in NTN work.</w:t>
      </w:r>
    </w:p>
    <w:p w14:paraId="13284B17" w14:textId="07F3DDEE" w:rsidR="00D21C75" w:rsidRPr="00D26A08" w:rsidRDefault="003D5B65" w:rsidP="003D5B65">
      <w:pPr>
        <w:pStyle w:val="Caption"/>
        <w:jc w:val="center"/>
        <w:rPr>
          <w:rFonts w:ascii="Arial" w:hAnsi="Arial" w:cs="Arial"/>
        </w:rPr>
      </w:pPr>
      <w:r w:rsidRPr="00F321DD">
        <w:t xml:space="preserve">Table </w:t>
      </w:r>
      <w:r w:rsidRPr="00D26A08">
        <w:fldChar w:fldCharType="begin"/>
      </w:r>
      <w:r w:rsidRPr="00F321DD">
        <w:instrText xml:space="preserve"> SEQ Table \* ARABIC </w:instrText>
      </w:r>
      <w:r w:rsidRPr="00D26A08">
        <w:fldChar w:fldCharType="separate"/>
      </w:r>
      <w:r w:rsidR="004B737B">
        <w:rPr>
          <w:noProof/>
        </w:rPr>
        <w:t>1</w:t>
      </w:r>
      <w:r w:rsidRPr="00D26A08">
        <w:fldChar w:fldCharType="end"/>
      </w:r>
      <w:r w:rsidRPr="00D26A08">
        <w:t>: A comparison of orbital elements and orbital state vector.</w:t>
      </w:r>
    </w:p>
    <w:tbl>
      <w:tblPr>
        <w:tblStyle w:val="TableGrid1"/>
        <w:tblW w:w="5000" w:type="pct"/>
        <w:tblInd w:w="0" w:type="dxa"/>
        <w:tblLook w:val="04A0" w:firstRow="1" w:lastRow="0" w:firstColumn="1" w:lastColumn="0" w:noHBand="0" w:noVBand="1"/>
      </w:tblPr>
      <w:tblGrid>
        <w:gridCol w:w="3083"/>
        <w:gridCol w:w="3093"/>
        <w:gridCol w:w="3453"/>
      </w:tblGrid>
      <w:tr w:rsidR="00D21C75" w:rsidRPr="00F321DD" w14:paraId="6A18E0CE" w14:textId="77777777" w:rsidTr="005B7C7A">
        <w:tc>
          <w:tcPr>
            <w:tcW w:w="1601" w:type="pct"/>
            <w:tcBorders>
              <w:top w:val="single" w:sz="4" w:space="0" w:color="auto"/>
              <w:left w:val="single" w:sz="4" w:space="0" w:color="auto"/>
              <w:bottom w:val="single" w:sz="4" w:space="0" w:color="auto"/>
              <w:right w:val="single" w:sz="4" w:space="0" w:color="auto"/>
            </w:tcBorders>
          </w:tcPr>
          <w:p w14:paraId="15838312" w14:textId="77777777" w:rsidR="00D21C75" w:rsidRPr="00F321DD" w:rsidRDefault="00D21C75">
            <w:pPr>
              <w:jc w:val="both"/>
              <w:rPr>
                <w:rFonts w:ascii="Arial" w:eastAsia="Calibri" w:hAnsi="Arial" w:cs="Arial"/>
                <w:lang w:eastAsia="ja-JP"/>
              </w:rPr>
            </w:pPr>
          </w:p>
        </w:tc>
        <w:tc>
          <w:tcPr>
            <w:tcW w:w="1606" w:type="pct"/>
            <w:tcBorders>
              <w:top w:val="single" w:sz="4" w:space="0" w:color="auto"/>
              <w:left w:val="single" w:sz="4" w:space="0" w:color="auto"/>
              <w:bottom w:val="single" w:sz="4" w:space="0" w:color="auto"/>
              <w:right w:val="single" w:sz="4" w:space="0" w:color="auto"/>
            </w:tcBorders>
            <w:hideMark/>
          </w:tcPr>
          <w:p w14:paraId="71481058" w14:textId="77777777" w:rsidR="00D21C75" w:rsidRPr="00F321DD" w:rsidRDefault="00D21C75">
            <w:pPr>
              <w:jc w:val="both"/>
              <w:rPr>
                <w:rFonts w:ascii="Arial" w:hAnsi="Arial" w:cs="Arial"/>
                <w:lang w:eastAsia="ja-JP"/>
              </w:rPr>
            </w:pPr>
            <w:r w:rsidRPr="00F321DD">
              <w:rPr>
                <w:rFonts w:ascii="Arial" w:hAnsi="Arial" w:cs="Arial"/>
                <w:lang w:eastAsia="ja-JP"/>
              </w:rPr>
              <w:t>Orbital elements</w:t>
            </w:r>
          </w:p>
        </w:tc>
        <w:tc>
          <w:tcPr>
            <w:tcW w:w="1794" w:type="pct"/>
            <w:tcBorders>
              <w:top w:val="single" w:sz="4" w:space="0" w:color="auto"/>
              <w:left w:val="single" w:sz="4" w:space="0" w:color="auto"/>
              <w:bottom w:val="single" w:sz="4" w:space="0" w:color="auto"/>
              <w:right w:val="single" w:sz="4" w:space="0" w:color="auto"/>
            </w:tcBorders>
            <w:hideMark/>
          </w:tcPr>
          <w:p w14:paraId="74A7F2C2" w14:textId="24F31305" w:rsidR="00D21C75" w:rsidRPr="00F321DD" w:rsidRDefault="00D21C75">
            <w:pPr>
              <w:jc w:val="both"/>
              <w:rPr>
                <w:rFonts w:ascii="Arial" w:hAnsi="Arial" w:cs="Arial"/>
                <w:lang w:eastAsia="ja-JP"/>
              </w:rPr>
            </w:pPr>
            <w:r w:rsidRPr="00F321DD">
              <w:rPr>
                <w:rFonts w:ascii="Arial" w:hAnsi="Arial" w:cs="Arial"/>
                <w:lang w:eastAsia="ja-JP"/>
              </w:rPr>
              <w:t>Orbital state vector</w:t>
            </w:r>
          </w:p>
        </w:tc>
      </w:tr>
      <w:tr w:rsidR="00D21C75" w:rsidRPr="00F321DD" w14:paraId="6AB7F5B0" w14:textId="77777777" w:rsidTr="005B7C7A">
        <w:tc>
          <w:tcPr>
            <w:tcW w:w="1601" w:type="pct"/>
            <w:tcBorders>
              <w:top w:val="single" w:sz="4" w:space="0" w:color="auto"/>
              <w:left w:val="single" w:sz="4" w:space="0" w:color="auto"/>
              <w:bottom w:val="single" w:sz="4" w:space="0" w:color="auto"/>
              <w:right w:val="single" w:sz="4" w:space="0" w:color="auto"/>
            </w:tcBorders>
            <w:hideMark/>
          </w:tcPr>
          <w:p w14:paraId="57752111" w14:textId="77777777" w:rsidR="00D21C75" w:rsidRPr="00D26A08" w:rsidRDefault="00D21C75">
            <w:pPr>
              <w:jc w:val="both"/>
              <w:rPr>
                <w:rFonts w:ascii="Arial" w:hAnsi="Arial" w:cs="Arial"/>
                <w:lang w:eastAsia="ja-JP"/>
              </w:rPr>
            </w:pPr>
            <w:r w:rsidRPr="00D26A08">
              <w:rPr>
                <w:rFonts w:ascii="Arial" w:hAnsi="Arial" w:cs="Arial"/>
                <w:lang w:eastAsia="ja-JP"/>
              </w:rPr>
              <w:t>Parameters</w:t>
            </w:r>
          </w:p>
        </w:tc>
        <w:tc>
          <w:tcPr>
            <w:tcW w:w="1606" w:type="pct"/>
            <w:tcBorders>
              <w:top w:val="single" w:sz="4" w:space="0" w:color="auto"/>
              <w:left w:val="single" w:sz="4" w:space="0" w:color="auto"/>
              <w:bottom w:val="single" w:sz="4" w:space="0" w:color="auto"/>
              <w:right w:val="single" w:sz="4" w:space="0" w:color="auto"/>
            </w:tcBorders>
            <w:hideMark/>
          </w:tcPr>
          <w:p w14:paraId="43826809" w14:textId="2832D782" w:rsidR="00D21C75" w:rsidRPr="00F321DD" w:rsidRDefault="0004501E">
            <w:pPr>
              <w:jc w:val="both"/>
              <w:rPr>
                <w:rFonts w:ascii="Arial" w:hAnsi="Arial" w:cs="Arial"/>
                <w:lang w:eastAsia="ja-JP"/>
              </w:rPr>
            </w:pPr>
            <w:r w:rsidRPr="00F321DD">
              <w:rPr>
                <w:rFonts w:ascii="Arial" w:hAnsi="Arial" w:cs="Arial"/>
              </w:rPr>
              <w:t>(</w:t>
            </w:r>
            <w:r w:rsidRPr="00F321DD">
              <w:rPr>
                <w:rFonts w:ascii="Arial" w:hAnsi="Arial" w:cs="Arial"/>
                <w:lang w:eastAsia="ja-JP"/>
              </w:rPr>
              <w:t>a, e, ω, Ω, i, M</w:t>
            </w:r>
            <w:r w:rsidRPr="00F321DD">
              <w:rPr>
                <w:rFonts w:ascii="Arial" w:hAnsi="Arial" w:cs="Arial"/>
                <w:vertAlign w:val="subscript"/>
                <w:lang w:eastAsia="ja-JP"/>
              </w:rPr>
              <w:t>0</w:t>
            </w:r>
            <w:r w:rsidRPr="00F321DD">
              <w:rPr>
                <w:rFonts w:ascii="Arial" w:hAnsi="Arial" w:cs="Arial"/>
              </w:rPr>
              <w:t>)</w:t>
            </w:r>
          </w:p>
        </w:tc>
        <w:tc>
          <w:tcPr>
            <w:tcW w:w="1794" w:type="pct"/>
            <w:tcBorders>
              <w:top w:val="single" w:sz="4" w:space="0" w:color="auto"/>
              <w:left w:val="single" w:sz="4" w:space="0" w:color="auto"/>
              <w:bottom w:val="single" w:sz="4" w:space="0" w:color="auto"/>
              <w:right w:val="single" w:sz="4" w:space="0" w:color="auto"/>
            </w:tcBorders>
            <w:hideMark/>
          </w:tcPr>
          <w:p w14:paraId="7CDDF975" w14:textId="77777777" w:rsidR="00D21C75" w:rsidRPr="00F321DD" w:rsidRDefault="00D21C75">
            <w:pPr>
              <w:jc w:val="both"/>
              <w:rPr>
                <w:rFonts w:ascii="Arial" w:hAnsi="Arial" w:cs="Arial"/>
                <w:lang w:eastAsia="ja-JP"/>
              </w:rPr>
            </w:pPr>
            <w:r w:rsidRPr="00F321DD">
              <w:rPr>
                <w:rFonts w:ascii="Arial" w:hAnsi="Arial" w:cs="Arial"/>
              </w:rPr>
              <w:t xml:space="preserve">(x, y, z, </w:t>
            </w:r>
            <w:proofErr w:type="spellStart"/>
            <w:r w:rsidRPr="00F321DD">
              <w:rPr>
                <w:rFonts w:ascii="Arial" w:hAnsi="Arial" w:cs="Arial"/>
              </w:rPr>
              <w:t>v</w:t>
            </w:r>
            <w:r w:rsidRPr="00F321DD">
              <w:rPr>
                <w:rFonts w:ascii="Arial" w:hAnsi="Arial" w:cs="Arial"/>
                <w:vertAlign w:val="subscript"/>
              </w:rPr>
              <w:t>x</w:t>
            </w:r>
            <w:proofErr w:type="spellEnd"/>
            <w:r w:rsidRPr="00F321DD">
              <w:rPr>
                <w:rFonts w:ascii="Arial" w:hAnsi="Arial" w:cs="Arial"/>
              </w:rPr>
              <w:t xml:space="preserve">, </w:t>
            </w:r>
            <w:proofErr w:type="spellStart"/>
            <w:r w:rsidRPr="00F321DD">
              <w:rPr>
                <w:rFonts w:ascii="Arial" w:hAnsi="Arial" w:cs="Arial"/>
              </w:rPr>
              <w:t>v</w:t>
            </w:r>
            <w:r w:rsidRPr="00F321DD">
              <w:rPr>
                <w:rFonts w:ascii="Arial" w:hAnsi="Arial" w:cs="Arial"/>
                <w:vertAlign w:val="subscript"/>
              </w:rPr>
              <w:t>y</w:t>
            </w:r>
            <w:proofErr w:type="spellEnd"/>
            <w:r w:rsidRPr="00F321DD">
              <w:rPr>
                <w:rFonts w:ascii="Arial" w:hAnsi="Arial" w:cs="Arial"/>
              </w:rPr>
              <w:t xml:space="preserve">, </w:t>
            </w:r>
            <w:proofErr w:type="spellStart"/>
            <w:r w:rsidRPr="00F321DD">
              <w:rPr>
                <w:rFonts w:ascii="Arial" w:hAnsi="Arial" w:cs="Arial"/>
              </w:rPr>
              <w:t>v</w:t>
            </w:r>
            <w:r w:rsidRPr="00F321DD">
              <w:rPr>
                <w:rFonts w:ascii="Arial" w:hAnsi="Arial" w:cs="Arial"/>
                <w:vertAlign w:val="subscript"/>
              </w:rPr>
              <w:t>z</w:t>
            </w:r>
            <w:proofErr w:type="spellEnd"/>
            <w:r w:rsidRPr="00F321DD">
              <w:rPr>
                <w:rFonts w:ascii="Arial" w:hAnsi="Arial" w:cs="Arial"/>
              </w:rPr>
              <w:t>)</w:t>
            </w:r>
          </w:p>
        </w:tc>
      </w:tr>
      <w:tr w:rsidR="00D21C75" w:rsidRPr="00F321DD" w14:paraId="0B843DFD" w14:textId="77777777" w:rsidTr="005B7C7A">
        <w:tc>
          <w:tcPr>
            <w:tcW w:w="1601" w:type="pct"/>
            <w:tcBorders>
              <w:top w:val="single" w:sz="4" w:space="0" w:color="auto"/>
              <w:left w:val="single" w:sz="4" w:space="0" w:color="auto"/>
              <w:bottom w:val="single" w:sz="4" w:space="0" w:color="auto"/>
              <w:right w:val="single" w:sz="4" w:space="0" w:color="auto"/>
            </w:tcBorders>
            <w:hideMark/>
          </w:tcPr>
          <w:p w14:paraId="2E594844" w14:textId="37CA2990" w:rsidR="00D21C75" w:rsidRPr="00F321DD" w:rsidRDefault="00D21C75">
            <w:pPr>
              <w:jc w:val="both"/>
              <w:rPr>
                <w:rFonts w:ascii="Arial" w:hAnsi="Arial" w:cs="Arial"/>
                <w:lang w:eastAsia="ja-JP"/>
              </w:rPr>
            </w:pPr>
            <w:r w:rsidRPr="00D26A08">
              <w:rPr>
                <w:rFonts w:ascii="Arial" w:hAnsi="Arial" w:cs="Arial"/>
                <w:lang w:eastAsia="ja-JP"/>
              </w:rPr>
              <w:t>Ease of orbit representation to calculate satellite trajectory</w:t>
            </w:r>
          </w:p>
        </w:tc>
        <w:tc>
          <w:tcPr>
            <w:tcW w:w="1606" w:type="pct"/>
            <w:tcBorders>
              <w:top w:val="single" w:sz="4" w:space="0" w:color="auto"/>
              <w:left w:val="single" w:sz="4" w:space="0" w:color="auto"/>
              <w:bottom w:val="single" w:sz="4" w:space="0" w:color="auto"/>
              <w:right w:val="single" w:sz="4" w:space="0" w:color="auto"/>
            </w:tcBorders>
            <w:hideMark/>
          </w:tcPr>
          <w:p w14:paraId="32361EB0" w14:textId="77777777" w:rsidR="00D21C75" w:rsidRPr="00F321DD" w:rsidRDefault="00D21C75">
            <w:pPr>
              <w:jc w:val="both"/>
              <w:rPr>
                <w:rFonts w:ascii="Arial" w:hAnsi="Arial" w:cs="Arial"/>
                <w:lang w:eastAsia="ja-JP"/>
              </w:rPr>
            </w:pPr>
            <w:r w:rsidRPr="00F321DD">
              <w:rPr>
                <w:rFonts w:ascii="Arial" w:hAnsi="Arial" w:cs="Arial"/>
                <w:lang w:eastAsia="ja-JP"/>
              </w:rPr>
              <w:t>Convenient</w:t>
            </w:r>
          </w:p>
        </w:tc>
        <w:tc>
          <w:tcPr>
            <w:tcW w:w="1794" w:type="pct"/>
            <w:tcBorders>
              <w:top w:val="single" w:sz="4" w:space="0" w:color="auto"/>
              <w:left w:val="single" w:sz="4" w:space="0" w:color="auto"/>
              <w:bottom w:val="single" w:sz="4" w:space="0" w:color="auto"/>
              <w:right w:val="single" w:sz="4" w:space="0" w:color="auto"/>
            </w:tcBorders>
            <w:hideMark/>
          </w:tcPr>
          <w:p w14:paraId="61441270" w14:textId="77777777" w:rsidR="00D21C75" w:rsidRPr="00F321DD" w:rsidRDefault="00D21C75">
            <w:pPr>
              <w:jc w:val="both"/>
              <w:rPr>
                <w:rFonts w:ascii="Arial" w:hAnsi="Arial" w:cs="Arial"/>
                <w:lang w:eastAsia="ja-JP"/>
              </w:rPr>
            </w:pPr>
            <w:r w:rsidRPr="00F321DD">
              <w:rPr>
                <w:rFonts w:ascii="Arial" w:hAnsi="Arial" w:cs="Arial"/>
                <w:lang w:eastAsia="ja-JP"/>
              </w:rPr>
              <w:t>Inconvenient</w:t>
            </w:r>
          </w:p>
        </w:tc>
      </w:tr>
      <w:tr w:rsidR="00D21C75" w:rsidRPr="00F321DD" w14:paraId="568B8F4D" w14:textId="77777777" w:rsidTr="005B7C7A">
        <w:tc>
          <w:tcPr>
            <w:tcW w:w="1601" w:type="pct"/>
            <w:tcBorders>
              <w:top w:val="single" w:sz="4" w:space="0" w:color="auto"/>
              <w:left w:val="single" w:sz="4" w:space="0" w:color="auto"/>
              <w:bottom w:val="single" w:sz="4" w:space="0" w:color="auto"/>
              <w:right w:val="single" w:sz="4" w:space="0" w:color="auto"/>
            </w:tcBorders>
            <w:hideMark/>
          </w:tcPr>
          <w:p w14:paraId="6B4ACA94" w14:textId="77777777" w:rsidR="00D21C75" w:rsidRPr="00F321DD" w:rsidRDefault="00D21C75">
            <w:pPr>
              <w:jc w:val="both"/>
              <w:rPr>
                <w:rFonts w:ascii="Arial" w:hAnsi="Arial" w:cs="Arial"/>
                <w:lang w:eastAsia="ja-JP"/>
              </w:rPr>
            </w:pPr>
            <w:r w:rsidRPr="00D26A08">
              <w:rPr>
                <w:rFonts w:ascii="Arial" w:hAnsi="Arial" w:cs="Arial"/>
                <w:lang w:eastAsia="ja-JP"/>
              </w:rPr>
              <w:t>Timing and Doppler calculation at reference epoch t</w:t>
            </w:r>
            <w:r w:rsidRPr="00F321DD">
              <w:rPr>
                <w:rFonts w:ascii="Arial" w:hAnsi="Arial" w:cs="Arial"/>
                <w:vertAlign w:val="subscript"/>
                <w:lang w:eastAsia="ja-JP"/>
              </w:rPr>
              <w:t>0</w:t>
            </w:r>
          </w:p>
        </w:tc>
        <w:tc>
          <w:tcPr>
            <w:tcW w:w="1606" w:type="pct"/>
            <w:tcBorders>
              <w:top w:val="single" w:sz="4" w:space="0" w:color="auto"/>
              <w:left w:val="single" w:sz="4" w:space="0" w:color="auto"/>
              <w:bottom w:val="single" w:sz="4" w:space="0" w:color="auto"/>
              <w:right w:val="single" w:sz="4" w:space="0" w:color="auto"/>
            </w:tcBorders>
            <w:hideMark/>
          </w:tcPr>
          <w:p w14:paraId="2F4A8E65" w14:textId="77777777" w:rsidR="00D21C75" w:rsidRPr="00F321DD" w:rsidRDefault="00D21C75">
            <w:pPr>
              <w:jc w:val="both"/>
              <w:rPr>
                <w:rFonts w:ascii="Arial" w:hAnsi="Arial" w:cs="Arial"/>
                <w:lang w:eastAsia="ja-JP"/>
              </w:rPr>
            </w:pPr>
            <w:r w:rsidRPr="00F321DD">
              <w:rPr>
                <w:rFonts w:ascii="Arial" w:hAnsi="Arial" w:cs="Arial"/>
                <w:lang w:eastAsia="ja-JP"/>
              </w:rPr>
              <w:t>2 steps:</w:t>
            </w:r>
          </w:p>
          <w:p w14:paraId="5A4591A1" w14:textId="4CC91174" w:rsidR="00D21C75" w:rsidRPr="00DF0849" w:rsidRDefault="00D21C75" w:rsidP="00DF0849">
            <w:pPr>
              <w:pStyle w:val="ListParagraph"/>
              <w:numPr>
                <w:ilvl w:val="0"/>
                <w:numId w:val="19"/>
              </w:numPr>
              <w:spacing w:line="254" w:lineRule="auto"/>
              <w:jc w:val="both"/>
              <w:rPr>
                <w:rFonts w:ascii="Arial" w:hAnsi="Arial" w:cs="Arial"/>
                <w:lang w:val="en-US" w:eastAsia="ja-JP"/>
              </w:rPr>
            </w:pPr>
            <w:r w:rsidRPr="00DF0849">
              <w:rPr>
                <w:rFonts w:ascii="Arial" w:hAnsi="Arial" w:cs="Arial"/>
                <w:lang w:val="en-US" w:eastAsia="ja-JP"/>
              </w:rPr>
              <w:t>Translate orbital elements at reference epoch t</w:t>
            </w:r>
            <w:r w:rsidRPr="00DF0849">
              <w:rPr>
                <w:rFonts w:ascii="Arial" w:hAnsi="Arial" w:cs="Arial"/>
                <w:vertAlign w:val="subscript"/>
                <w:lang w:val="en-US" w:eastAsia="ja-JP"/>
              </w:rPr>
              <w:t>0</w:t>
            </w:r>
            <w:r w:rsidRPr="00DF0849">
              <w:rPr>
                <w:rFonts w:ascii="Arial" w:hAnsi="Arial" w:cs="Arial"/>
                <w:lang w:val="en-US" w:eastAsia="ja-JP"/>
              </w:rPr>
              <w:t xml:space="preserve"> to state vector</w:t>
            </w:r>
          </w:p>
          <w:p w14:paraId="39F0BEA1" w14:textId="7001619B" w:rsidR="00D21C75" w:rsidRPr="00DF0849" w:rsidRDefault="00D21C75" w:rsidP="00DF0849">
            <w:pPr>
              <w:pStyle w:val="ListParagraph"/>
              <w:numPr>
                <w:ilvl w:val="0"/>
                <w:numId w:val="19"/>
              </w:numPr>
              <w:spacing w:line="254" w:lineRule="auto"/>
              <w:jc w:val="both"/>
              <w:rPr>
                <w:rFonts w:ascii="Arial" w:hAnsi="Arial" w:cs="Arial"/>
                <w:lang w:val="en-US" w:eastAsia="ja-JP"/>
              </w:rPr>
            </w:pPr>
            <w:r w:rsidRPr="00DF0849">
              <w:rPr>
                <w:rFonts w:ascii="Arial" w:hAnsi="Arial" w:cs="Arial"/>
                <w:lang w:val="en-US" w:eastAsia="ja-JP"/>
              </w:rPr>
              <w:t xml:space="preserve">Use </w:t>
            </w:r>
            <w:r w:rsidR="00C46708" w:rsidRPr="00F321DD">
              <w:rPr>
                <w:rFonts w:ascii="Arial" w:hAnsi="Arial" w:cs="Arial"/>
                <w:lang w:val="en-US" w:eastAsia="ja-JP"/>
              </w:rPr>
              <w:t>state</w:t>
            </w:r>
            <w:r w:rsidRPr="00DF0849">
              <w:rPr>
                <w:rFonts w:ascii="Arial" w:hAnsi="Arial" w:cs="Arial"/>
                <w:lang w:val="en-US" w:eastAsia="ja-JP"/>
              </w:rPr>
              <w:t xml:space="preserve"> vector to calculate timing and Doppler at reference epoch t</w:t>
            </w:r>
            <w:r w:rsidRPr="00DF0849">
              <w:rPr>
                <w:rFonts w:ascii="Arial" w:hAnsi="Arial" w:cs="Arial"/>
                <w:vertAlign w:val="subscript"/>
                <w:lang w:val="en-US" w:eastAsia="ja-JP"/>
              </w:rPr>
              <w:t>0</w:t>
            </w:r>
          </w:p>
        </w:tc>
        <w:tc>
          <w:tcPr>
            <w:tcW w:w="1794" w:type="pct"/>
            <w:tcBorders>
              <w:top w:val="single" w:sz="4" w:space="0" w:color="auto"/>
              <w:left w:val="single" w:sz="4" w:space="0" w:color="auto"/>
              <w:bottom w:val="single" w:sz="4" w:space="0" w:color="auto"/>
              <w:right w:val="single" w:sz="4" w:space="0" w:color="auto"/>
            </w:tcBorders>
            <w:hideMark/>
          </w:tcPr>
          <w:p w14:paraId="63CE0AF7" w14:textId="77777777" w:rsidR="00D21C75" w:rsidRPr="00D26A08" w:rsidRDefault="00D21C75">
            <w:pPr>
              <w:jc w:val="both"/>
              <w:rPr>
                <w:rFonts w:ascii="Arial" w:hAnsi="Arial" w:cs="Arial"/>
                <w:lang w:eastAsia="ja-JP"/>
              </w:rPr>
            </w:pPr>
            <w:r w:rsidRPr="00D26A08">
              <w:rPr>
                <w:rFonts w:ascii="Arial" w:hAnsi="Arial" w:cs="Arial"/>
                <w:lang w:eastAsia="ja-JP"/>
              </w:rPr>
              <w:t>1 step:</w:t>
            </w:r>
          </w:p>
          <w:p w14:paraId="728795D2" w14:textId="0C4077D2" w:rsidR="00D21C75" w:rsidRPr="00DF0849" w:rsidRDefault="00D21C75" w:rsidP="00DF0849">
            <w:pPr>
              <w:pStyle w:val="ListParagraph"/>
              <w:numPr>
                <w:ilvl w:val="0"/>
                <w:numId w:val="20"/>
              </w:numPr>
              <w:spacing w:line="254" w:lineRule="auto"/>
              <w:jc w:val="both"/>
              <w:rPr>
                <w:rFonts w:ascii="Arial" w:hAnsi="Arial" w:cs="Arial"/>
                <w:lang w:val="en-US" w:eastAsia="ja-JP"/>
              </w:rPr>
            </w:pPr>
            <w:r w:rsidRPr="00DF0849">
              <w:rPr>
                <w:rFonts w:ascii="Arial" w:hAnsi="Arial" w:cs="Arial"/>
                <w:lang w:val="en-US" w:eastAsia="ja-JP"/>
              </w:rPr>
              <w:t xml:space="preserve">Use </w:t>
            </w:r>
            <w:r w:rsidR="00C46708" w:rsidRPr="00F321DD">
              <w:rPr>
                <w:rFonts w:ascii="Arial" w:hAnsi="Arial" w:cs="Arial"/>
                <w:lang w:val="en-US" w:eastAsia="ja-JP"/>
              </w:rPr>
              <w:t>state</w:t>
            </w:r>
            <w:r w:rsidRPr="00DF0849">
              <w:rPr>
                <w:rFonts w:ascii="Arial" w:hAnsi="Arial" w:cs="Arial"/>
                <w:lang w:val="en-US" w:eastAsia="ja-JP"/>
              </w:rPr>
              <w:t xml:space="preserve"> vector to calculate timing and Doppler at reference epoch t</w:t>
            </w:r>
            <w:r w:rsidRPr="00DF0849">
              <w:rPr>
                <w:rFonts w:ascii="Arial" w:hAnsi="Arial" w:cs="Arial"/>
                <w:vertAlign w:val="subscript"/>
                <w:lang w:val="en-US" w:eastAsia="ja-JP"/>
              </w:rPr>
              <w:t>0</w:t>
            </w:r>
          </w:p>
        </w:tc>
      </w:tr>
      <w:tr w:rsidR="00D21C75" w:rsidRPr="00F321DD" w14:paraId="71F9C95F" w14:textId="77777777" w:rsidTr="005B7C7A">
        <w:tc>
          <w:tcPr>
            <w:tcW w:w="1601" w:type="pct"/>
            <w:tcBorders>
              <w:top w:val="single" w:sz="4" w:space="0" w:color="auto"/>
              <w:left w:val="single" w:sz="4" w:space="0" w:color="auto"/>
              <w:bottom w:val="single" w:sz="4" w:space="0" w:color="auto"/>
              <w:right w:val="single" w:sz="4" w:space="0" w:color="auto"/>
            </w:tcBorders>
          </w:tcPr>
          <w:p w14:paraId="43055A1C" w14:textId="77777777" w:rsidR="00D21C75" w:rsidRPr="00F321DD" w:rsidRDefault="00D21C75">
            <w:pPr>
              <w:jc w:val="both"/>
              <w:rPr>
                <w:rFonts w:ascii="Arial" w:hAnsi="Arial" w:cs="Arial"/>
                <w:lang w:eastAsia="ja-JP"/>
              </w:rPr>
            </w:pPr>
            <w:r w:rsidRPr="00D26A08">
              <w:rPr>
                <w:rFonts w:ascii="Arial" w:hAnsi="Arial" w:cs="Arial"/>
                <w:lang w:eastAsia="ja-JP"/>
              </w:rPr>
              <w:t>Timing and Doppler calculation at another considered epoch t,</w:t>
            </w:r>
          </w:p>
          <w:p w14:paraId="3F5EB58B" w14:textId="77777777" w:rsidR="00D21C75" w:rsidRPr="00F321DD" w:rsidRDefault="00D21C75">
            <w:pPr>
              <w:jc w:val="both"/>
              <w:rPr>
                <w:rFonts w:ascii="Arial" w:hAnsi="Arial" w:cs="Arial"/>
                <w:lang w:eastAsia="ja-JP"/>
              </w:rPr>
            </w:pPr>
            <w:r w:rsidRPr="00F321DD">
              <w:rPr>
                <w:rFonts w:ascii="Arial" w:hAnsi="Arial" w:cs="Arial"/>
                <w:lang w:eastAsia="ja-JP"/>
              </w:rPr>
              <w:t>which is different from the reference epoch t</w:t>
            </w:r>
            <w:r w:rsidRPr="00F321DD">
              <w:rPr>
                <w:rFonts w:ascii="Arial" w:hAnsi="Arial" w:cs="Arial"/>
                <w:vertAlign w:val="subscript"/>
                <w:lang w:eastAsia="ja-JP"/>
              </w:rPr>
              <w:t>0</w:t>
            </w:r>
          </w:p>
          <w:p w14:paraId="2F677960" w14:textId="77777777" w:rsidR="00D21C75" w:rsidRPr="00F321DD" w:rsidRDefault="00D21C75">
            <w:pPr>
              <w:jc w:val="both"/>
              <w:rPr>
                <w:rFonts w:ascii="Arial" w:hAnsi="Arial" w:cs="Arial"/>
                <w:lang w:eastAsia="ja-JP"/>
              </w:rPr>
            </w:pPr>
          </w:p>
          <w:p w14:paraId="2FA83696" w14:textId="37F2BAC4" w:rsidR="00D21C75" w:rsidRPr="00F321DD" w:rsidRDefault="00D21C75">
            <w:pPr>
              <w:jc w:val="both"/>
              <w:rPr>
                <w:rFonts w:ascii="Arial" w:hAnsi="Arial" w:cs="Arial"/>
                <w:lang w:eastAsia="ja-JP"/>
              </w:rPr>
            </w:pPr>
            <w:r w:rsidRPr="00F321DD">
              <w:rPr>
                <w:rFonts w:ascii="Arial" w:hAnsi="Arial" w:cs="Arial"/>
                <w:lang w:eastAsia="ja-JP"/>
              </w:rPr>
              <w:t>This is needed for procedures NOT at the reference epoch t</w:t>
            </w:r>
            <w:r w:rsidRPr="00F321DD">
              <w:rPr>
                <w:rFonts w:ascii="Arial" w:hAnsi="Arial" w:cs="Arial"/>
                <w:vertAlign w:val="subscript"/>
                <w:lang w:eastAsia="ja-JP"/>
              </w:rPr>
              <w:t>0</w:t>
            </w:r>
            <w:r w:rsidRPr="00F321DD">
              <w:rPr>
                <w:rFonts w:ascii="Arial" w:hAnsi="Arial" w:cs="Arial"/>
                <w:lang w:eastAsia="ja-JP"/>
              </w:rPr>
              <w:t>, such as</w:t>
            </w:r>
            <w:r w:rsidR="00C46708" w:rsidRPr="00F321DD">
              <w:rPr>
                <w:rFonts w:ascii="Arial" w:hAnsi="Arial" w:cs="Arial"/>
                <w:lang w:eastAsia="ja-JP"/>
              </w:rPr>
              <w:t xml:space="preserve"> UE autonomous timing and frequency adjustment, </w:t>
            </w:r>
            <w:r w:rsidRPr="00F321DD">
              <w:rPr>
                <w:rFonts w:ascii="Arial" w:hAnsi="Arial" w:cs="Arial"/>
                <w:lang w:eastAsia="ja-JP"/>
              </w:rPr>
              <w:t>random access, RRM measurements, idle/inactive measurements, handover, etc.</w:t>
            </w:r>
          </w:p>
        </w:tc>
        <w:tc>
          <w:tcPr>
            <w:tcW w:w="1606" w:type="pct"/>
            <w:tcBorders>
              <w:top w:val="single" w:sz="4" w:space="0" w:color="auto"/>
              <w:left w:val="single" w:sz="4" w:space="0" w:color="auto"/>
              <w:bottom w:val="single" w:sz="4" w:space="0" w:color="auto"/>
              <w:right w:val="single" w:sz="4" w:space="0" w:color="auto"/>
            </w:tcBorders>
            <w:hideMark/>
          </w:tcPr>
          <w:p w14:paraId="6342E2BF" w14:textId="5821489D" w:rsidR="00D21C75" w:rsidRPr="00F321DD" w:rsidRDefault="003D5B65">
            <w:pPr>
              <w:jc w:val="both"/>
              <w:rPr>
                <w:rFonts w:ascii="Arial" w:hAnsi="Arial" w:cs="Arial"/>
                <w:lang w:eastAsia="ja-JP"/>
              </w:rPr>
            </w:pPr>
            <w:r w:rsidRPr="00F321DD">
              <w:rPr>
                <w:rFonts w:ascii="Arial" w:hAnsi="Arial" w:cs="Arial"/>
                <w:lang w:eastAsia="ja-JP"/>
              </w:rPr>
              <w:t>3</w:t>
            </w:r>
            <w:r w:rsidR="00D21C75" w:rsidRPr="00F321DD">
              <w:rPr>
                <w:rFonts w:ascii="Arial" w:hAnsi="Arial" w:cs="Arial"/>
                <w:lang w:eastAsia="ja-JP"/>
              </w:rPr>
              <w:t xml:space="preserve"> steps:</w:t>
            </w:r>
          </w:p>
          <w:p w14:paraId="18019374" w14:textId="26C1DBBB" w:rsidR="00D21C75" w:rsidRPr="00DF0849" w:rsidRDefault="00D21C75" w:rsidP="00DF0849">
            <w:pPr>
              <w:pStyle w:val="ListParagraph"/>
              <w:numPr>
                <w:ilvl w:val="0"/>
                <w:numId w:val="21"/>
              </w:numPr>
              <w:spacing w:line="254" w:lineRule="auto"/>
              <w:jc w:val="both"/>
              <w:rPr>
                <w:rFonts w:ascii="Arial" w:hAnsi="Arial" w:cs="Arial"/>
                <w:lang w:val="en-US" w:eastAsia="ja-JP"/>
              </w:rPr>
            </w:pPr>
            <w:r w:rsidRPr="00DF0849">
              <w:rPr>
                <w:rFonts w:ascii="Arial" w:hAnsi="Arial" w:cs="Arial"/>
                <w:lang w:val="en-US" w:eastAsia="ja-JP"/>
              </w:rPr>
              <w:t>Derive orbital elements at considered epoch t from reference epoch t</w:t>
            </w:r>
            <w:r w:rsidRPr="00DF0849">
              <w:rPr>
                <w:rFonts w:ascii="Arial" w:hAnsi="Arial" w:cs="Arial"/>
                <w:vertAlign w:val="subscript"/>
                <w:lang w:val="en-US" w:eastAsia="ja-JP"/>
              </w:rPr>
              <w:t>0</w:t>
            </w:r>
          </w:p>
          <w:p w14:paraId="6B99CC98" w14:textId="77777777" w:rsidR="003D5B65" w:rsidRPr="00DF0849" w:rsidRDefault="00D21C75" w:rsidP="00DF0849">
            <w:pPr>
              <w:pStyle w:val="ListParagraph"/>
              <w:numPr>
                <w:ilvl w:val="0"/>
                <w:numId w:val="21"/>
              </w:numPr>
              <w:spacing w:line="254" w:lineRule="auto"/>
              <w:jc w:val="both"/>
              <w:rPr>
                <w:rFonts w:ascii="Arial" w:hAnsi="Arial" w:cs="Arial"/>
                <w:lang w:val="en-US" w:eastAsia="ja-JP"/>
              </w:rPr>
            </w:pPr>
            <w:r w:rsidRPr="00DF0849">
              <w:rPr>
                <w:rFonts w:ascii="Arial" w:hAnsi="Arial" w:cs="Arial"/>
                <w:lang w:val="en-US" w:eastAsia="ja-JP"/>
              </w:rPr>
              <w:t xml:space="preserve">Translate orbital elements to state vector </w:t>
            </w:r>
          </w:p>
          <w:p w14:paraId="0F82895C" w14:textId="657D6F1A" w:rsidR="00D21C75" w:rsidRPr="00DF0849" w:rsidRDefault="003D5B65" w:rsidP="00DF0849">
            <w:pPr>
              <w:pStyle w:val="ListParagraph"/>
              <w:numPr>
                <w:ilvl w:val="0"/>
                <w:numId w:val="21"/>
              </w:numPr>
              <w:spacing w:line="254" w:lineRule="auto"/>
              <w:jc w:val="both"/>
              <w:rPr>
                <w:rFonts w:ascii="Arial" w:hAnsi="Arial" w:cs="Arial"/>
                <w:lang w:val="en-US" w:eastAsia="ja-JP"/>
              </w:rPr>
            </w:pPr>
            <w:r w:rsidRPr="00F321DD">
              <w:rPr>
                <w:rFonts w:ascii="Arial" w:hAnsi="Arial" w:cs="Arial"/>
                <w:lang w:val="en-US" w:eastAsia="ja-JP"/>
              </w:rPr>
              <w:t xml:space="preserve">Use state vector </w:t>
            </w:r>
            <w:r w:rsidR="00D21C75" w:rsidRPr="00DF0849">
              <w:rPr>
                <w:rFonts w:ascii="Arial" w:hAnsi="Arial" w:cs="Arial"/>
                <w:lang w:val="en-US" w:eastAsia="ja-JP"/>
              </w:rPr>
              <w:t>to calculate timing and Doppler at considered epoch t</w:t>
            </w:r>
          </w:p>
        </w:tc>
        <w:tc>
          <w:tcPr>
            <w:tcW w:w="1794" w:type="pct"/>
            <w:tcBorders>
              <w:top w:val="single" w:sz="4" w:space="0" w:color="auto"/>
              <w:left w:val="single" w:sz="4" w:space="0" w:color="auto"/>
              <w:bottom w:val="single" w:sz="4" w:space="0" w:color="auto"/>
              <w:right w:val="single" w:sz="4" w:space="0" w:color="auto"/>
            </w:tcBorders>
            <w:hideMark/>
          </w:tcPr>
          <w:p w14:paraId="1DDC3516" w14:textId="5B955809" w:rsidR="00D21C75" w:rsidRPr="00D26A08" w:rsidRDefault="003D5B65">
            <w:pPr>
              <w:jc w:val="both"/>
              <w:rPr>
                <w:rFonts w:ascii="Arial" w:hAnsi="Arial" w:cs="Arial"/>
                <w:lang w:eastAsia="ja-JP"/>
              </w:rPr>
            </w:pPr>
            <w:r w:rsidRPr="00D26A08">
              <w:rPr>
                <w:rFonts w:ascii="Arial" w:hAnsi="Arial" w:cs="Arial"/>
                <w:lang w:eastAsia="ja-JP"/>
              </w:rPr>
              <w:t>4</w:t>
            </w:r>
            <w:r w:rsidR="00D21C75" w:rsidRPr="00D26A08">
              <w:rPr>
                <w:rFonts w:ascii="Arial" w:hAnsi="Arial" w:cs="Arial"/>
                <w:lang w:eastAsia="ja-JP"/>
              </w:rPr>
              <w:t xml:space="preserve"> steps:</w:t>
            </w:r>
          </w:p>
          <w:p w14:paraId="23ED5C58" w14:textId="4E1AAD5D" w:rsidR="00D21C75" w:rsidRPr="00DF0849" w:rsidRDefault="00D21C75" w:rsidP="00DF0849">
            <w:pPr>
              <w:pStyle w:val="ListParagraph"/>
              <w:numPr>
                <w:ilvl w:val="0"/>
                <w:numId w:val="22"/>
              </w:numPr>
              <w:spacing w:line="254" w:lineRule="auto"/>
              <w:jc w:val="both"/>
              <w:rPr>
                <w:rFonts w:ascii="Arial" w:hAnsi="Arial" w:cs="Arial"/>
                <w:lang w:val="en-US" w:eastAsia="ja-JP"/>
              </w:rPr>
            </w:pPr>
            <w:r w:rsidRPr="00DF0849">
              <w:rPr>
                <w:rFonts w:ascii="Arial" w:hAnsi="Arial" w:cs="Arial"/>
                <w:lang w:val="en-US" w:eastAsia="ja-JP"/>
              </w:rPr>
              <w:t>Translate state vector at reference epoch t</w:t>
            </w:r>
            <w:r w:rsidRPr="00DF0849">
              <w:rPr>
                <w:rFonts w:ascii="Arial" w:hAnsi="Arial" w:cs="Arial"/>
                <w:vertAlign w:val="subscript"/>
                <w:lang w:val="en-US" w:eastAsia="ja-JP"/>
              </w:rPr>
              <w:t>0</w:t>
            </w:r>
            <w:r w:rsidRPr="00DF0849">
              <w:rPr>
                <w:rFonts w:ascii="Arial" w:hAnsi="Arial" w:cs="Arial"/>
                <w:lang w:val="en-US" w:eastAsia="ja-JP"/>
              </w:rPr>
              <w:t xml:space="preserve"> to orbital elements</w:t>
            </w:r>
          </w:p>
          <w:p w14:paraId="63FC5D28" w14:textId="384D4670" w:rsidR="00D21C75" w:rsidRPr="00DF0849" w:rsidRDefault="00D21C75" w:rsidP="00DF0849">
            <w:pPr>
              <w:pStyle w:val="ListParagraph"/>
              <w:numPr>
                <w:ilvl w:val="0"/>
                <w:numId w:val="22"/>
              </w:numPr>
              <w:spacing w:line="254" w:lineRule="auto"/>
              <w:jc w:val="both"/>
              <w:rPr>
                <w:rFonts w:ascii="Arial" w:hAnsi="Arial" w:cs="Arial"/>
                <w:lang w:val="en-US" w:eastAsia="ja-JP"/>
              </w:rPr>
            </w:pPr>
            <w:r w:rsidRPr="00DF0849">
              <w:rPr>
                <w:rFonts w:ascii="Arial" w:hAnsi="Arial" w:cs="Arial"/>
                <w:lang w:val="en-US" w:eastAsia="ja-JP"/>
              </w:rPr>
              <w:t>Derive orbital elements at considered epoch t from reference epoch t</w:t>
            </w:r>
            <w:r w:rsidRPr="00DF0849">
              <w:rPr>
                <w:rFonts w:ascii="Arial" w:hAnsi="Arial" w:cs="Arial"/>
                <w:vertAlign w:val="subscript"/>
                <w:lang w:val="en-US" w:eastAsia="ja-JP"/>
              </w:rPr>
              <w:t>0</w:t>
            </w:r>
          </w:p>
          <w:p w14:paraId="58B13830" w14:textId="1E6A78D9" w:rsidR="003D5B65" w:rsidRPr="00DF0849" w:rsidRDefault="00D21C75" w:rsidP="00DF0849">
            <w:pPr>
              <w:pStyle w:val="ListParagraph"/>
              <w:numPr>
                <w:ilvl w:val="0"/>
                <w:numId w:val="22"/>
              </w:numPr>
              <w:spacing w:line="254" w:lineRule="auto"/>
              <w:jc w:val="both"/>
              <w:rPr>
                <w:rFonts w:ascii="Arial" w:hAnsi="Arial" w:cs="Arial"/>
                <w:lang w:val="en-US" w:eastAsia="ja-JP"/>
              </w:rPr>
            </w:pPr>
            <w:r w:rsidRPr="00DF0849">
              <w:rPr>
                <w:rFonts w:ascii="Arial" w:hAnsi="Arial" w:cs="Arial"/>
                <w:lang w:val="en-US" w:eastAsia="ja-JP"/>
              </w:rPr>
              <w:t>Translate orbital elements to state vector</w:t>
            </w:r>
            <w:r w:rsidR="003D5B65" w:rsidRPr="00F321DD">
              <w:rPr>
                <w:rFonts w:ascii="Arial" w:hAnsi="Arial" w:cs="Arial"/>
                <w:lang w:val="en-US" w:eastAsia="ja-JP"/>
              </w:rPr>
              <w:t xml:space="preserve"> at considered epoch t</w:t>
            </w:r>
            <w:r w:rsidRPr="00DF0849">
              <w:rPr>
                <w:rFonts w:ascii="Arial" w:hAnsi="Arial" w:cs="Arial"/>
                <w:lang w:val="en-US" w:eastAsia="ja-JP"/>
              </w:rPr>
              <w:t xml:space="preserve"> </w:t>
            </w:r>
          </w:p>
          <w:p w14:paraId="638EA26B" w14:textId="14F9D9D1" w:rsidR="00D21C75" w:rsidRPr="00DF0849" w:rsidRDefault="003D5B65" w:rsidP="00DF0849">
            <w:pPr>
              <w:pStyle w:val="ListParagraph"/>
              <w:numPr>
                <w:ilvl w:val="0"/>
                <w:numId w:val="22"/>
              </w:numPr>
              <w:spacing w:line="254" w:lineRule="auto"/>
              <w:jc w:val="both"/>
              <w:rPr>
                <w:rFonts w:ascii="Arial" w:hAnsi="Arial" w:cs="Arial"/>
                <w:lang w:val="en-US" w:eastAsia="ja-JP"/>
              </w:rPr>
            </w:pPr>
            <w:r w:rsidRPr="00F321DD">
              <w:rPr>
                <w:rFonts w:ascii="Arial" w:hAnsi="Arial" w:cs="Arial"/>
                <w:lang w:val="en-US" w:eastAsia="ja-JP"/>
              </w:rPr>
              <w:t xml:space="preserve">Use state vector </w:t>
            </w:r>
            <w:r w:rsidR="00D21C75" w:rsidRPr="00DF0849">
              <w:rPr>
                <w:rFonts w:ascii="Arial" w:hAnsi="Arial" w:cs="Arial"/>
                <w:lang w:val="en-US" w:eastAsia="ja-JP"/>
              </w:rPr>
              <w:t>to calculate timing and Doppler at considered epoch t</w:t>
            </w:r>
          </w:p>
        </w:tc>
      </w:tr>
      <w:tr w:rsidR="00D21C75" w:rsidRPr="00F321DD" w14:paraId="6AE1ED4A" w14:textId="77777777" w:rsidTr="005B7C7A">
        <w:tc>
          <w:tcPr>
            <w:tcW w:w="1601" w:type="pct"/>
            <w:tcBorders>
              <w:top w:val="single" w:sz="4" w:space="0" w:color="auto"/>
              <w:left w:val="single" w:sz="4" w:space="0" w:color="auto"/>
              <w:bottom w:val="single" w:sz="4" w:space="0" w:color="auto"/>
              <w:right w:val="single" w:sz="4" w:space="0" w:color="auto"/>
            </w:tcBorders>
            <w:hideMark/>
          </w:tcPr>
          <w:p w14:paraId="16AF2DF0" w14:textId="77777777" w:rsidR="00D21C75" w:rsidRPr="00D26A08" w:rsidRDefault="00D21C75">
            <w:pPr>
              <w:jc w:val="both"/>
              <w:rPr>
                <w:rFonts w:ascii="Arial" w:hAnsi="Arial" w:cs="Arial"/>
                <w:lang w:eastAsia="ja-JP"/>
              </w:rPr>
            </w:pPr>
            <w:r w:rsidRPr="00D26A08">
              <w:rPr>
                <w:rFonts w:ascii="Arial" w:hAnsi="Arial" w:cs="Arial"/>
                <w:lang w:eastAsia="ja-JP"/>
              </w:rPr>
              <w:t>Signaling overhead</w:t>
            </w:r>
          </w:p>
        </w:tc>
        <w:tc>
          <w:tcPr>
            <w:tcW w:w="3399" w:type="pct"/>
            <w:gridSpan w:val="2"/>
            <w:tcBorders>
              <w:top w:val="single" w:sz="4" w:space="0" w:color="auto"/>
              <w:left w:val="single" w:sz="4" w:space="0" w:color="auto"/>
              <w:bottom w:val="single" w:sz="4" w:space="0" w:color="auto"/>
              <w:right w:val="single" w:sz="4" w:space="0" w:color="auto"/>
            </w:tcBorders>
            <w:hideMark/>
          </w:tcPr>
          <w:p w14:paraId="5981FD5E" w14:textId="77777777" w:rsidR="00D21C75" w:rsidRPr="00F321DD" w:rsidRDefault="00D21C75">
            <w:pPr>
              <w:jc w:val="both"/>
              <w:rPr>
                <w:rFonts w:ascii="Arial" w:hAnsi="Arial" w:cs="Arial"/>
                <w:lang w:eastAsia="ja-JP"/>
              </w:rPr>
            </w:pPr>
            <w:r w:rsidRPr="00F321DD">
              <w:rPr>
                <w:rFonts w:ascii="Arial" w:hAnsi="Arial" w:cs="Arial"/>
                <w:lang w:eastAsia="ja-JP"/>
              </w:rPr>
              <w:t>Since both require 6 parameters, the overhead difference may not be material. It is up to RAN2 to evaluate and decide how to design the signaling.</w:t>
            </w:r>
          </w:p>
        </w:tc>
      </w:tr>
    </w:tbl>
    <w:p w14:paraId="78822B19" w14:textId="77777777" w:rsidR="00C12ABB" w:rsidRPr="00D26A08" w:rsidRDefault="00C12ABB" w:rsidP="00C12ABB">
      <w:pPr>
        <w:jc w:val="both"/>
        <w:rPr>
          <w:rFonts w:ascii="Arial" w:hAnsi="Arial" w:cs="Arial"/>
          <w:lang w:eastAsia="ja-JP"/>
        </w:rPr>
      </w:pPr>
    </w:p>
    <w:p w14:paraId="5FF3D013" w14:textId="57CE69DB" w:rsidR="003D5B65" w:rsidRPr="00F321DD" w:rsidRDefault="003D5B65" w:rsidP="003D5B65">
      <w:pPr>
        <w:pStyle w:val="Observation"/>
        <w:overflowPunct w:val="0"/>
        <w:autoSpaceDE w:val="0"/>
        <w:autoSpaceDN w:val="0"/>
        <w:adjustRightInd w:val="0"/>
        <w:spacing w:line="240" w:lineRule="auto"/>
        <w:textAlignment w:val="baseline"/>
      </w:pPr>
      <w:bookmarkStart w:id="13" w:name="_Toc47672495"/>
      <w:r w:rsidRPr="00F321DD">
        <w:t xml:space="preserve">Satellite ephemeris </w:t>
      </w:r>
      <w:r w:rsidR="006745D0" w:rsidRPr="00F321DD">
        <w:t>can be represented in different forms including orbital elements and orbital state vector.</w:t>
      </w:r>
      <w:bookmarkEnd w:id="13"/>
    </w:p>
    <w:p w14:paraId="24BFD0C6" w14:textId="04EE44A5" w:rsidR="006745D0" w:rsidRPr="00F321DD" w:rsidRDefault="006745D0" w:rsidP="003D5B65">
      <w:pPr>
        <w:pStyle w:val="Observation"/>
        <w:overflowPunct w:val="0"/>
        <w:autoSpaceDE w:val="0"/>
        <w:autoSpaceDN w:val="0"/>
        <w:adjustRightInd w:val="0"/>
        <w:spacing w:line="240" w:lineRule="auto"/>
        <w:textAlignment w:val="baseline"/>
      </w:pPr>
      <w:bookmarkStart w:id="14" w:name="_Toc47672496"/>
      <w:r w:rsidRPr="00F321DD">
        <w:t>Different forms of orbit representation can be translated to each other.</w:t>
      </w:r>
      <w:bookmarkEnd w:id="14"/>
    </w:p>
    <w:p w14:paraId="43CC132E" w14:textId="0DE25284" w:rsidR="006745D0" w:rsidRPr="00F321DD" w:rsidRDefault="006745D0" w:rsidP="003D5B65">
      <w:pPr>
        <w:pStyle w:val="Observation"/>
        <w:overflowPunct w:val="0"/>
        <w:autoSpaceDE w:val="0"/>
        <w:autoSpaceDN w:val="0"/>
        <w:adjustRightInd w:val="0"/>
        <w:spacing w:line="240" w:lineRule="auto"/>
        <w:textAlignment w:val="baseline"/>
      </w:pPr>
      <w:bookmarkStart w:id="15" w:name="_Toc47672497"/>
      <w:r w:rsidRPr="00F321DD">
        <w:t xml:space="preserve">Orbit representation is associated with a reference time, whether it is implicit or explicit. </w:t>
      </w:r>
      <w:r w:rsidRPr="00F321DD">
        <w:rPr>
          <w:rFonts w:cs="Arial"/>
        </w:rPr>
        <w:t>In NTN, UE would need to derive satellite position, timing and/or Doppler at time</w:t>
      </w:r>
      <w:r w:rsidR="00C46708" w:rsidRPr="00F321DD">
        <w:rPr>
          <w:rFonts w:cs="Arial"/>
        </w:rPr>
        <w:t>s</w:t>
      </w:r>
      <w:r w:rsidRPr="00F321DD">
        <w:rPr>
          <w:rFonts w:cs="Arial"/>
        </w:rPr>
        <w:t xml:space="preserve"> different from the reference time.</w:t>
      </w:r>
      <w:bookmarkEnd w:id="15"/>
    </w:p>
    <w:p w14:paraId="0CDBF4E5" w14:textId="19281C31" w:rsidR="006745D0" w:rsidRPr="00F321DD" w:rsidRDefault="006745D0" w:rsidP="006745D0">
      <w:pPr>
        <w:pStyle w:val="Observation"/>
        <w:overflowPunct w:val="0"/>
        <w:autoSpaceDE w:val="0"/>
        <w:autoSpaceDN w:val="0"/>
        <w:adjustRightInd w:val="0"/>
        <w:spacing w:line="240" w:lineRule="auto"/>
        <w:textAlignment w:val="baseline"/>
      </w:pPr>
      <w:bookmarkStart w:id="16" w:name="_Toc47672498"/>
      <w:r w:rsidRPr="00F321DD">
        <w:t>Ephemeris is needed not only for the serving satellite but also other satellites for</w:t>
      </w:r>
      <w:r w:rsidR="0004501E" w:rsidRPr="00F321DD">
        <w:t xml:space="preserve"> the</w:t>
      </w:r>
      <w:r w:rsidRPr="00F321DD">
        <w:t xml:space="preserve"> </w:t>
      </w:r>
      <w:r w:rsidRPr="00F321DD">
        <w:rPr>
          <w:rFonts w:cs="Arial"/>
        </w:rPr>
        <w:t>purposes</w:t>
      </w:r>
      <w:r w:rsidR="0004501E" w:rsidRPr="00F321DD">
        <w:rPr>
          <w:rFonts w:cs="Arial"/>
        </w:rPr>
        <w:t xml:space="preserve"> of e.g.</w:t>
      </w:r>
      <w:r w:rsidRPr="00F321DD">
        <w:rPr>
          <w:rFonts w:cs="Arial"/>
        </w:rPr>
        <w:t xml:space="preserve"> RRM measurements, idle/inactive measurements, handover, etc</w:t>
      </w:r>
      <w:r w:rsidR="00DF0849">
        <w:rPr>
          <w:rFonts w:cs="Arial"/>
        </w:rPr>
        <w:t>.,</w:t>
      </w:r>
      <w:r w:rsidR="0028089C" w:rsidRPr="00F321DD">
        <w:rPr>
          <w:rFonts w:cs="Arial"/>
        </w:rPr>
        <w:t xml:space="preserve"> </w:t>
      </w:r>
      <w:r w:rsidR="00CA3BAB" w:rsidRPr="00F321DD">
        <w:rPr>
          <w:rFonts w:cs="Arial"/>
        </w:rPr>
        <w:t>which would be discussed in RAN2</w:t>
      </w:r>
      <w:r w:rsidRPr="00F321DD">
        <w:rPr>
          <w:rFonts w:cs="Arial"/>
        </w:rPr>
        <w:t>.</w:t>
      </w:r>
      <w:bookmarkEnd w:id="16"/>
    </w:p>
    <w:p w14:paraId="27826210" w14:textId="189759CE" w:rsidR="003D5B65" w:rsidRPr="00F321DD" w:rsidRDefault="003D5B65" w:rsidP="003D5B65">
      <w:pPr>
        <w:pStyle w:val="Proposal"/>
        <w:tabs>
          <w:tab w:val="num" w:pos="2439"/>
        </w:tabs>
      </w:pPr>
      <w:bookmarkStart w:id="17" w:name="_Toc47672508"/>
      <w:r w:rsidRPr="00F321DD">
        <w:t>NTN UE should have the capability of satellite trajectory calculation based on a provided orbit representation at a reference time.</w:t>
      </w:r>
      <w:bookmarkEnd w:id="17"/>
    </w:p>
    <w:p w14:paraId="443378D1" w14:textId="77777777" w:rsidR="003D5B65" w:rsidRPr="00F321DD" w:rsidRDefault="003D5B65" w:rsidP="00471095">
      <w:pPr>
        <w:jc w:val="both"/>
        <w:rPr>
          <w:rFonts w:ascii="Arial" w:hAnsi="Arial" w:cs="Arial"/>
          <w:lang w:eastAsia="ja-JP"/>
        </w:rPr>
      </w:pPr>
    </w:p>
    <w:p w14:paraId="0B5B11D8" w14:textId="153E4B0C" w:rsidR="00471095" w:rsidRPr="00F321DD" w:rsidRDefault="00471095" w:rsidP="00471095">
      <w:pPr>
        <w:jc w:val="both"/>
        <w:rPr>
          <w:rFonts w:ascii="Arial" w:hAnsi="Arial" w:cs="Arial"/>
        </w:rPr>
      </w:pPr>
      <w:r w:rsidRPr="00F321DD">
        <w:rPr>
          <w:rFonts w:ascii="Arial" w:hAnsi="Arial" w:cs="Arial"/>
          <w:lang w:eastAsia="ja-JP"/>
        </w:rPr>
        <w:lastRenderedPageBreak/>
        <w:t>Predictions of satellite positions</w:t>
      </w:r>
      <w:r w:rsidR="006745D0" w:rsidRPr="00F321DD">
        <w:rPr>
          <w:rFonts w:ascii="Arial" w:hAnsi="Arial" w:cs="Arial"/>
          <w:lang w:eastAsia="ja-JP"/>
        </w:rPr>
        <w:t xml:space="preserve"> by using satellite trajectory calculation based on a provided orbit representation at a reference time</w:t>
      </w:r>
      <w:r w:rsidRPr="00F321DD">
        <w:rPr>
          <w:rFonts w:ascii="Arial" w:hAnsi="Arial" w:cs="Arial"/>
          <w:lang w:eastAsia="ja-JP"/>
        </w:rPr>
        <w:t xml:space="preserve">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w:t>
      </w:r>
    </w:p>
    <w:p w14:paraId="795DE843" w14:textId="3D0A17F3" w:rsidR="00471095" w:rsidRPr="00F321DD" w:rsidRDefault="00471095" w:rsidP="00471095">
      <w:pPr>
        <w:jc w:val="both"/>
        <w:rPr>
          <w:rFonts w:ascii="Arial" w:hAnsi="Arial" w:cs="Arial"/>
        </w:rPr>
      </w:pPr>
      <w:r w:rsidRPr="00F321DD">
        <w:rPr>
          <w:rFonts w:ascii="Arial" w:hAnsi="Arial" w:cs="Arial"/>
          <w:lang w:eastAsia="ja-JP"/>
        </w:rPr>
        <w:t xml:space="preserve">The maximum allowed error of the </w:t>
      </w:r>
      <w:r w:rsidR="00DA2B2F">
        <w:rPr>
          <w:rFonts w:ascii="Arial" w:hAnsi="Arial" w:cs="Arial"/>
          <w:lang w:eastAsia="ja-JP"/>
        </w:rPr>
        <w:t>t</w:t>
      </w:r>
      <w:r w:rsidR="00AD3B93">
        <w:rPr>
          <w:rFonts w:ascii="Arial" w:hAnsi="Arial" w:cs="Arial"/>
          <w:lang w:eastAsia="ja-JP"/>
        </w:rPr>
        <w:t xml:space="preserve">iming </w:t>
      </w:r>
      <w:r w:rsidR="00DA2B2F">
        <w:rPr>
          <w:rFonts w:ascii="Arial" w:hAnsi="Arial" w:cs="Arial"/>
          <w:lang w:eastAsia="ja-JP"/>
        </w:rPr>
        <w:t>a</w:t>
      </w:r>
      <w:r w:rsidR="00AD3B93">
        <w:rPr>
          <w:rFonts w:ascii="Arial" w:hAnsi="Arial" w:cs="Arial"/>
          <w:lang w:eastAsia="ja-JP"/>
        </w:rPr>
        <w:t>dvance (</w:t>
      </w:r>
      <w:r w:rsidRPr="00D26A08">
        <w:rPr>
          <w:rFonts w:ascii="Arial" w:hAnsi="Arial" w:cs="Arial"/>
          <w:lang w:eastAsia="ja-JP"/>
        </w:rPr>
        <w:t>TA</w:t>
      </w:r>
      <w:r w:rsidR="00AD3B93">
        <w:rPr>
          <w:rFonts w:ascii="Arial" w:hAnsi="Arial" w:cs="Arial"/>
          <w:lang w:eastAsia="ja-JP"/>
        </w:rPr>
        <w:t>)</w:t>
      </w:r>
      <w:r w:rsidRPr="00D26A08">
        <w:rPr>
          <w:rFonts w:ascii="Arial" w:hAnsi="Arial" w:cs="Arial"/>
          <w:lang w:eastAsia="ja-JP"/>
        </w:rPr>
        <w:t xml:space="preserve">, while preserving OFDM/OFDMA orthogonality, is determined by the length of the cyclic prefix (CP). Besides TA error, the CP also </w:t>
      </w:r>
      <w:r w:rsidRPr="00F321DD">
        <w:rPr>
          <w:rFonts w:ascii="Arial" w:hAnsi="Arial" w:cs="Arial"/>
          <w:lang w:eastAsia="ja-JP"/>
        </w:rPr>
        <w:t>absorbs other effects such as multipath delay spread to preserve OFDM/OFDMA orthogonality. In 5G NR, the length of the CP is not fixed, but depends on the subcarrier spacing (SCS). For FR1, SCS of 15 kHz and 30 kHz are allowed, resulting in CP lengths of 4.69 µs and 2.34 µs, corresponding to distance</w:t>
      </w:r>
      <w:r w:rsidR="00A34A29" w:rsidRPr="00F321DD">
        <w:rPr>
          <w:rFonts w:ascii="Arial" w:hAnsi="Arial" w:cs="Arial"/>
          <w:lang w:eastAsia="ja-JP"/>
        </w:rPr>
        <w:t>s</w:t>
      </w:r>
      <w:r w:rsidRPr="00F321DD">
        <w:rPr>
          <w:rFonts w:ascii="Arial" w:hAnsi="Arial" w:cs="Arial"/>
          <w:lang w:eastAsia="ja-JP"/>
        </w:rPr>
        <w:t xml:space="preserve"> of 1.4 km and 700 m, respectively. Since the TA handles RTT, however, these distances have to be divided by 2 for the regenerative architecture and by 4 for the transparent case. In the worst case (transparent architecture and 30 kHz SCS), the CP length of 2.34 µs would thus allow the satellite to be 175 m away from its nominal position, where the UE expects it to be. </w:t>
      </w:r>
    </w:p>
    <w:p w14:paraId="7D5B951B" w14:textId="045A5315" w:rsidR="00471095" w:rsidRPr="00F321DD" w:rsidRDefault="00471095" w:rsidP="00471095">
      <w:pPr>
        <w:jc w:val="both"/>
        <w:rPr>
          <w:rFonts w:ascii="Arial" w:hAnsi="Arial" w:cs="Arial"/>
        </w:rPr>
      </w:pPr>
      <w:r w:rsidRPr="00F321DD">
        <w:rPr>
          <w:rFonts w:ascii="Arial" w:hAnsi="Arial" w:cs="Arial"/>
          <w:lang w:eastAsia="ja-JP"/>
        </w:rPr>
        <w:t xml:space="preserve">For LEO satellites, the most important effect degrading the orbit comes from atmospheric drag. Its strength is proportional to the mass-to-area ratio of the satellite (satellites with a smaller mass and a larger area are decelerated more strongly) but depends also on solar activity. It seems that even for very light and at the same time very large satellites at times of high solar activity, the loss of altitude during one orbital revolution is about one order of magnitude smaller than the position error calculated above. Considering that a LEO satellite is visible to a UE only for about </w:t>
      </w:r>
      <w:r w:rsidR="00186E96" w:rsidRPr="00F321DD">
        <w:rPr>
          <w:rFonts w:ascii="Arial" w:hAnsi="Arial" w:cs="Arial"/>
          <w:lang w:eastAsia="ja-JP"/>
        </w:rPr>
        <w:t>1-</w:t>
      </w:r>
      <w:r w:rsidRPr="00F321DD">
        <w:rPr>
          <w:rFonts w:ascii="Arial" w:hAnsi="Arial" w:cs="Arial"/>
          <w:lang w:eastAsia="ja-JP"/>
        </w:rPr>
        <w:t>10 minutes</w:t>
      </w:r>
      <w:r w:rsidR="00186E96" w:rsidRPr="00F321DD">
        <w:rPr>
          <w:rFonts w:ascii="Arial" w:hAnsi="Arial" w:cs="Arial"/>
          <w:lang w:eastAsia="ja-JP"/>
        </w:rPr>
        <w:t xml:space="preserve"> depending on e.g. the operational elevation angle</w:t>
      </w:r>
      <w:r w:rsidRPr="00F321DD">
        <w:rPr>
          <w:rFonts w:ascii="Arial" w:hAnsi="Arial" w:cs="Arial"/>
          <w:lang w:eastAsia="ja-JP"/>
        </w:rPr>
        <w:t>, this means that – for the purpose of calculating the TA and assuming the UE obtained precise ephemeris at the beginning of the satellite pass – ephemeris data does not need to be updated during the time the satellite is visible.</w:t>
      </w:r>
    </w:p>
    <w:p w14:paraId="7E9078E3" w14:textId="08A665EE" w:rsidR="00060E90" w:rsidRPr="00F321DD" w:rsidRDefault="00471095" w:rsidP="00060E90">
      <w:pPr>
        <w:jc w:val="both"/>
        <w:rPr>
          <w:rFonts w:ascii="Arial" w:hAnsi="Arial" w:cs="Arial"/>
          <w:lang w:eastAsia="ja-JP"/>
        </w:rPr>
      </w:pPr>
      <w:r w:rsidRPr="00F321DD">
        <w:rPr>
          <w:rFonts w:ascii="Arial" w:hAnsi="Arial" w:cs="Arial"/>
          <w:lang w:eastAsia="ja-JP"/>
        </w:rPr>
        <w:t xml:space="preserve">For data channels, FR2 allows to employ SCS of up to 120 kHz, leading to a CP length of only 0.57 µs. This corresponds to a position error of 43 m, assuming transparent architecture. While </w:t>
      </w:r>
      <w:bookmarkStart w:id="18" w:name="_Hlk45827140"/>
      <w:r w:rsidRPr="00F321DD">
        <w:rPr>
          <w:rFonts w:ascii="Arial" w:hAnsi="Arial" w:cs="Arial"/>
          <w:lang w:eastAsia="ja-JP"/>
        </w:rPr>
        <w:t xml:space="preserve">this is probably still large </w:t>
      </w:r>
      <w:bookmarkEnd w:id="18"/>
      <w:r w:rsidRPr="00F321DD">
        <w:rPr>
          <w:rFonts w:ascii="Arial" w:hAnsi="Arial" w:cs="Arial"/>
          <w:lang w:eastAsia="ja-JP"/>
        </w:rPr>
        <w:t xml:space="preserve">enough to account for the loss of altitude during a 10-minute pass, it seems to motivate further studies to ensure that the UE can determine the satellite position with sufficient </w:t>
      </w:r>
      <w:bookmarkStart w:id="19" w:name="_Hlk45827125"/>
      <w:r w:rsidRPr="00F321DD">
        <w:rPr>
          <w:rFonts w:ascii="Arial" w:hAnsi="Arial" w:cs="Arial"/>
          <w:lang w:eastAsia="ja-JP"/>
        </w:rPr>
        <w:t>accuracy.</w:t>
      </w:r>
      <w:bookmarkEnd w:id="19"/>
    </w:p>
    <w:p w14:paraId="58439072" w14:textId="59EB8F38" w:rsidR="00C23C34" w:rsidRPr="00F321DD" w:rsidRDefault="00C23C34" w:rsidP="00060E90">
      <w:pPr>
        <w:pStyle w:val="Observation"/>
        <w:overflowPunct w:val="0"/>
        <w:autoSpaceDE w:val="0"/>
        <w:autoSpaceDN w:val="0"/>
        <w:adjustRightInd w:val="0"/>
        <w:spacing w:line="240" w:lineRule="auto"/>
        <w:textAlignment w:val="baseline"/>
      </w:pPr>
      <w:bookmarkStart w:id="20" w:name="_Toc47672499"/>
      <w:r w:rsidRPr="00F321DD">
        <w:t>Satellite ephemeris with sufficient accuracy to support timing and frequency offset pre-compensation shall be made available to the NR NTN UE</w:t>
      </w:r>
      <w:r w:rsidR="00186E96" w:rsidRPr="00F321DD">
        <w:t>.</w:t>
      </w:r>
      <w:bookmarkEnd w:id="20"/>
    </w:p>
    <w:p w14:paraId="3CE23947" w14:textId="239EC242" w:rsidR="006745D0" w:rsidRPr="00D26A08" w:rsidRDefault="006745D0" w:rsidP="00060E90">
      <w:pPr>
        <w:pStyle w:val="Observation"/>
        <w:overflowPunct w:val="0"/>
        <w:autoSpaceDE w:val="0"/>
        <w:autoSpaceDN w:val="0"/>
        <w:adjustRightInd w:val="0"/>
        <w:spacing w:line="240" w:lineRule="auto"/>
        <w:textAlignment w:val="baseline"/>
      </w:pPr>
      <w:bookmarkStart w:id="21" w:name="_Toc47672500"/>
      <w:r w:rsidRPr="00F321DD">
        <w:t>Satellite ephemeris with sufficient accuracy to support timing and frequency offset pre-compensation can come with low frequency update</w:t>
      </w:r>
      <w:r w:rsidR="00C9751D">
        <w:t>s</w:t>
      </w:r>
      <w:r w:rsidRPr="00D26A08">
        <w:t>.</w:t>
      </w:r>
      <w:bookmarkEnd w:id="21"/>
    </w:p>
    <w:p w14:paraId="2974F660" w14:textId="03047B93" w:rsidR="00060E90" w:rsidRPr="00F321DD" w:rsidRDefault="00C23C34" w:rsidP="00060E90">
      <w:pPr>
        <w:pStyle w:val="Proposal"/>
        <w:tabs>
          <w:tab w:val="num" w:pos="2439"/>
        </w:tabs>
      </w:pPr>
      <w:bookmarkStart w:id="22" w:name="_Toc31705502"/>
      <w:bookmarkStart w:id="23" w:name="_Toc47672509"/>
      <w:r w:rsidRPr="00F321DD">
        <w:t>RAN1 to study the required accuracy of s</w:t>
      </w:r>
      <w:r w:rsidR="00060E90" w:rsidRPr="00F321DD">
        <w:t>atellite ephemeris to support timing and frequency offset pre-compensation.</w:t>
      </w:r>
      <w:bookmarkEnd w:id="22"/>
      <w:bookmarkEnd w:id="23"/>
    </w:p>
    <w:p w14:paraId="2D4875AA" w14:textId="10291503" w:rsidR="00C23C34" w:rsidRPr="00DF0849" w:rsidRDefault="00C23C34" w:rsidP="00C23C34">
      <w:pPr>
        <w:pStyle w:val="Heading1"/>
        <w:rPr>
          <w:lang w:val="en-US"/>
        </w:rPr>
      </w:pPr>
      <w:r w:rsidRPr="00DF0849">
        <w:rPr>
          <w:lang w:val="en-US"/>
        </w:rPr>
        <w:t>5</w:t>
      </w:r>
      <w:r w:rsidRPr="00DF0849">
        <w:rPr>
          <w:lang w:val="en-US"/>
        </w:rPr>
        <w:tab/>
        <w:t>UL timing compensation</w:t>
      </w:r>
    </w:p>
    <w:p w14:paraId="4FD6C78F" w14:textId="1317CA1E" w:rsidR="00C23C34" w:rsidRPr="00F321DD" w:rsidRDefault="00C23C34" w:rsidP="00C23C34">
      <w:pPr>
        <w:jc w:val="both"/>
        <w:rPr>
          <w:rFonts w:ascii="Arial" w:hAnsi="Arial" w:cs="Arial"/>
        </w:rPr>
      </w:pPr>
      <w:r w:rsidRPr="00D26A08">
        <w:rPr>
          <w:rFonts w:ascii="Arial" w:hAnsi="Arial" w:cs="Arial"/>
        </w:rPr>
        <w:t xml:space="preserve">First it needs to be clarified where the point of time and frequency reference is located in an NTN. In our view, the serving satellite, containing a </w:t>
      </w:r>
      <w:proofErr w:type="spellStart"/>
      <w:r w:rsidRPr="00D26A08">
        <w:rPr>
          <w:rFonts w:ascii="Arial" w:hAnsi="Arial" w:cs="Arial"/>
        </w:rPr>
        <w:t>gNB</w:t>
      </w:r>
      <w:proofErr w:type="spellEnd"/>
      <w:r w:rsidRPr="00D26A08">
        <w:rPr>
          <w:rFonts w:ascii="Arial" w:hAnsi="Arial" w:cs="Arial"/>
        </w:rPr>
        <w:t xml:space="preserve"> or a repeater, should serve as the point of time and</w:t>
      </w:r>
      <w:r w:rsidRPr="00F321DD">
        <w:rPr>
          <w:rFonts w:ascii="Arial" w:hAnsi="Arial" w:cs="Arial"/>
        </w:rPr>
        <w:t xml:space="preserve"> frequency reference from the RAN1 perspective. Delays on the feeder link should be compensated for by the network in a fashion transparent to the UEs.</w:t>
      </w:r>
    </w:p>
    <w:p w14:paraId="7DB299C1" w14:textId="59D88A37" w:rsidR="00C23C34" w:rsidRPr="00F321DD" w:rsidRDefault="00C23C34" w:rsidP="00C23C34">
      <w:pPr>
        <w:pStyle w:val="Proposal"/>
        <w:tabs>
          <w:tab w:val="num" w:pos="2439"/>
        </w:tabs>
      </w:pPr>
      <w:bookmarkStart w:id="24" w:name="_Toc47672510"/>
      <w:r w:rsidRPr="00F321DD">
        <w:t>The serving satellite should serve as the point of time and frequency reference in an NTN.</w:t>
      </w:r>
      <w:bookmarkEnd w:id="24"/>
      <w:r w:rsidRPr="00F321DD">
        <w:t xml:space="preserve"> </w:t>
      </w:r>
    </w:p>
    <w:p w14:paraId="47C17507" w14:textId="77777777" w:rsidR="00C23C34" w:rsidRPr="00F321DD" w:rsidRDefault="00C23C34" w:rsidP="00C23C34">
      <w:pPr>
        <w:jc w:val="both"/>
        <w:rPr>
          <w:rFonts w:ascii="Arial" w:hAnsi="Arial" w:cs="Arial"/>
        </w:rPr>
      </w:pPr>
      <w:r w:rsidRPr="00F321DD">
        <w:rPr>
          <w:rFonts w:ascii="Arial" w:hAnsi="Arial" w:cs="Arial"/>
        </w:rPr>
        <w:t xml:space="preserve">We here assume that RAN1 will agree to mandate UE support for GNSS based time compensation in RRC idle and inactive, while support in RRC connected is considered as an optional feature. </w:t>
      </w:r>
    </w:p>
    <w:p w14:paraId="63B36761" w14:textId="68E92C9E" w:rsidR="00C23C34" w:rsidRPr="00F321DD" w:rsidRDefault="00C23C34" w:rsidP="00C23C34">
      <w:pPr>
        <w:jc w:val="both"/>
        <w:rPr>
          <w:rFonts w:ascii="Arial" w:hAnsi="Arial" w:cs="Arial"/>
        </w:rPr>
      </w:pPr>
      <w:r w:rsidRPr="00F321DD">
        <w:rPr>
          <w:rFonts w:ascii="Arial" w:hAnsi="Arial" w:cs="Arial"/>
        </w:rPr>
        <w:lastRenderedPageBreak/>
        <w:t>Based on this we assume that all UEs should be able to determine the TA value for PRACH transmission when initiating the random access procedure according to option A.1. The TA value should comprise a compensation for the UE to serving satellite RTT (known as the “full TA” in TR 38.821), and a margin determined by the maximum allowed estimation error of the RTT.</w:t>
      </w:r>
    </w:p>
    <w:p w14:paraId="3F614563" w14:textId="619B7105" w:rsidR="00C23C34" w:rsidRPr="00F321DD" w:rsidRDefault="00C23C34" w:rsidP="00C23C34">
      <w:pPr>
        <w:pStyle w:val="Proposal"/>
        <w:tabs>
          <w:tab w:val="num" w:pos="2439"/>
        </w:tabs>
      </w:pPr>
      <w:bookmarkStart w:id="25" w:name="_Toc47672511"/>
      <w:r w:rsidRPr="00F321DD">
        <w:t>The UE should apply a TA at PRACH transmission comprising the estimated RTT and the maximum estimation uncertainty.</w:t>
      </w:r>
      <w:bookmarkEnd w:id="25"/>
    </w:p>
    <w:p w14:paraId="38D2DE06" w14:textId="77777777" w:rsidR="001571C1" w:rsidRPr="00F321DD" w:rsidRDefault="00C23C34" w:rsidP="001571C1">
      <w:pPr>
        <w:jc w:val="both"/>
        <w:rPr>
          <w:rFonts w:ascii="Arial" w:hAnsi="Arial" w:cs="Arial"/>
        </w:rPr>
      </w:pPr>
      <w:r w:rsidRPr="00F321DD">
        <w:rPr>
          <w:rFonts w:ascii="Arial" w:hAnsi="Arial" w:cs="Arial"/>
        </w:rPr>
        <w:t>The current TA consists of 2 parts: one is</w:t>
      </w:r>
      <w:r w:rsidR="001571C1" w:rsidRPr="00F321DD">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Pr="00D26A08">
        <w:rPr>
          <w:rFonts w:ascii="Arial" w:hAnsi="Arial" w:cs="Arial"/>
        </w:rPr>
        <w:t xml:space="preserve"> based on UE estimate and the other is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TA_offset</m:t>
            </m:r>
          </m:sub>
        </m:sSub>
      </m:oMath>
      <w:r w:rsidRPr="00D26A08">
        <w:rPr>
          <w:rFonts w:ascii="Arial" w:hAnsi="Arial" w:cs="Arial"/>
        </w:rPr>
        <w:t xml:space="preserve">, which depends on band and LTE/NR coexistence. </w:t>
      </w:r>
    </w:p>
    <w:p w14:paraId="63034D87" w14:textId="4D13ED43" w:rsidR="001571C1" w:rsidRPr="00D26A08" w:rsidRDefault="001571C1" w:rsidP="001571C1">
      <w:pPr>
        <w:jc w:val="both"/>
        <w:rPr>
          <w:rFonts w:ascii="Arial" w:hAnsi="Arial" w:cs="Arial"/>
          <w:sz w:val="20"/>
          <w:szCs w:val="20"/>
        </w:rPr>
      </w:pPr>
      <w:r w:rsidRPr="00D26A08">
        <w:rPr>
          <w:noProof/>
          <w:sz w:val="20"/>
          <w:szCs w:val="20"/>
        </w:rPr>
        <mc:AlternateContent>
          <mc:Choice Requires="wps">
            <w:drawing>
              <wp:inline distT="0" distB="0" distL="0" distR="0" wp14:anchorId="1081FADC" wp14:editId="7A0ECA8C">
                <wp:extent cx="6120765" cy="622300"/>
                <wp:effectExtent l="0" t="0" r="1333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2300"/>
                        </a:xfrm>
                        <a:prstGeom prst="rect">
                          <a:avLst/>
                        </a:prstGeom>
                        <a:solidFill>
                          <a:schemeClr val="lt1">
                            <a:lumMod val="100000"/>
                            <a:lumOff val="0"/>
                          </a:schemeClr>
                        </a:solidFill>
                        <a:ln w="6350">
                          <a:solidFill>
                            <a:srgbClr val="000000"/>
                          </a:solidFill>
                          <a:miter lim="800000"/>
                          <a:headEnd/>
                          <a:tailEnd/>
                        </a:ln>
                      </wps:spPr>
                      <wps:txbx>
                        <w:txbxContent>
                          <w:p w14:paraId="62D6E8FB" w14:textId="77777777" w:rsidR="001571C1" w:rsidRPr="001571C1" w:rsidRDefault="001571C1" w:rsidP="001571C1">
                            <w:pPr>
                              <w:rPr>
                                <w:rFonts w:ascii="Times New Roman" w:hAnsi="Times New Roman" w:cs="Times New Roman"/>
                                <w:sz w:val="20"/>
                                <w:szCs w:val="20"/>
                              </w:rPr>
                            </w:pPr>
                            <w:r w:rsidRPr="001571C1">
                              <w:rPr>
                                <w:rFonts w:ascii="Times New Roman" w:hAnsi="Times New Roman" w:cs="Times New Roman"/>
                                <w:sz w:val="20"/>
                                <w:szCs w:val="20"/>
                              </w:rPr>
                              <w:t>The UE shall have capability to follow the frame timing change of the reference cell in connected state. The uplink frame transmission takes place</w:t>
                            </w:r>
                            <w:r w:rsidRPr="001571C1">
                              <w:rPr>
                                <w:rFonts w:ascii="Times New Roman" w:hAnsi="Times New Roman" w:cs="Times New Roman"/>
                                <w:sz w:val="20"/>
                                <w:szCs w:val="20"/>
                                <w:vertAlign w:val="subscript"/>
                              </w:rPr>
                              <w:t xml:space="preserve"> </w:t>
                            </w:r>
                            <w:r w:rsidRPr="001571C1">
                              <w:rPr>
                                <w:rFonts w:ascii="Times New Roman" w:hAnsi="Times New Roman" w:cs="Times New Roman"/>
                                <w:noProof/>
                                <w:position w:val="-10"/>
                                <w:sz w:val="20"/>
                                <w:szCs w:val="20"/>
                                <w:lang w:val="en-GB"/>
                              </w:rPr>
                              <w:drawing>
                                <wp:inline distT="0" distB="0" distL="0" distR="0" wp14:anchorId="59165810" wp14:editId="493D3B2C">
                                  <wp:extent cx="1115060" cy="138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5060" cy="138430"/>
                                          </a:xfrm>
                                          <a:prstGeom prst="rect">
                                            <a:avLst/>
                                          </a:prstGeom>
                                          <a:noFill/>
                                          <a:ln>
                                            <a:noFill/>
                                          </a:ln>
                                        </pic:spPr>
                                      </pic:pic>
                                    </a:graphicData>
                                  </a:graphic>
                                </wp:inline>
                              </w:drawing>
                            </w:r>
                            <w:r w:rsidRPr="001571C1">
                              <w:rPr>
                                <w:rFonts w:ascii="Times New Roman" w:hAnsi="Times New Roman" w:cs="Times New Roman"/>
                                <w:sz w:val="20"/>
                                <w:szCs w:val="20"/>
                              </w:rPr>
                              <w:t> before the reception of the first detected path (in time) of the corresponding downlink frame from the reference cell.</w:t>
                            </w:r>
                          </w:p>
                          <w:p w14:paraId="69B4D32D" w14:textId="77777777" w:rsidR="001571C1" w:rsidRPr="00EE564D" w:rsidRDefault="001571C1" w:rsidP="001571C1">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1081FADC" id="_x0000_t202" coordsize="21600,21600" o:spt="202" path="m,l,21600r21600,l21600,xe">
                <v:stroke joinstyle="miter"/>
                <v:path gradientshapeok="t" o:connecttype="rect"/>
              </v:shapetype>
              <v:shape id="Text Box 1" o:spid="_x0000_s1026" type="#_x0000_t202" style="width:481.95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" fillcolor="white [3201]" strokeweight=".5pt">
                <v:textbox>
                  <w:txbxContent>
                    <w:p w14:paraId="62D6E8FB" w14:textId="77777777" w:rsidR="001571C1" w:rsidRPr="001571C1" w:rsidRDefault="001571C1" w:rsidP="001571C1">
                      <w:pPr>
                        <w:rPr>
                          <w:rFonts w:ascii="Times New Roman" w:hAnsi="Times New Roman" w:cs="Times New Roman"/>
                          <w:sz w:val="20"/>
                          <w:szCs w:val="20"/>
                        </w:rPr>
                      </w:pPr>
                      <w:r w:rsidRPr="001571C1">
                        <w:rPr>
                          <w:rFonts w:ascii="Times New Roman" w:hAnsi="Times New Roman" w:cs="Times New Roman"/>
                          <w:sz w:val="20"/>
                          <w:szCs w:val="20"/>
                        </w:rPr>
                        <w:t>The UE shall have capability to follow the frame timing change of the reference cell in connected state. The uplink frame transmission takes place</w:t>
                      </w:r>
                      <w:r w:rsidRPr="001571C1">
                        <w:rPr>
                          <w:rFonts w:ascii="Times New Roman" w:hAnsi="Times New Roman" w:cs="Times New Roman"/>
                          <w:sz w:val="20"/>
                          <w:szCs w:val="20"/>
                          <w:vertAlign w:val="subscript"/>
                        </w:rPr>
                        <w:t xml:space="preserve"> </w:t>
                      </w:r>
                      <w:r w:rsidRPr="001571C1">
                        <w:rPr>
                          <w:rFonts w:ascii="Times New Roman" w:hAnsi="Times New Roman" w:cs="Times New Roman"/>
                          <w:noProof/>
                          <w:position w:val="-10"/>
                          <w:sz w:val="20"/>
                          <w:szCs w:val="20"/>
                          <w:lang w:val="en-GB"/>
                        </w:rPr>
                        <w:drawing>
                          <wp:inline distT="0" distB="0" distL="0" distR="0" wp14:anchorId="59165810" wp14:editId="493D3B2C">
                            <wp:extent cx="1115060" cy="138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5060" cy="138430"/>
                                    </a:xfrm>
                                    <a:prstGeom prst="rect">
                                      <a:avLst/>
                                    </a:prstGeom>
                                    <a:noFill/>
                                    <a:ln>
                                      <a:noFill/>
                                    </a:ln>
                                  </pic:spPr>
                                </pic:pic>
                              </a:graphicData>
                            </a:graphic>
                          </wp:inline>
                        </w:drawing>
                      </w:r>
                      <w:r w:rsidRPr="001571C1">
                        <w:rPr>
                          <w:rFonts w:ascii="Times New Roman" w:hAnsi="Times New Roman" w:cs="Times New Roman"/>
                          <w:sz w:val="20"/>
                          <w:szCs w:val="20"/>
                        </w:rPr>
                        <w:t> before the reception of the first detected path (in time) of the corresponding downlink frame from the reference cell.</w:t>
                      </w:r>
                    </w:p>
                    <w:p w14:paraId="69B4D32D" w14:textId="77777777" w:rsidR="001571C1" w:rsidRPr="00EE564D" w:rsidRDefault="001571C1" w:rsidP="001571C1">
                      <w:pPr>
                        <w:jc w:val="both"/>
                        <w:rPr>
                          <w:rFonts w:ascii="Arial" w:hAnsi="Arial"/>
                          <w:lang w:eastAsia="ja-JP"/>
                        </w:rPr>
                      </w:pPr>
                    </w:p>
                  </w:txbxContent>
                </v:textbox>
                <w10:anchorlock/>
              </v:shape>
            </w:pict>
          </mc:Fallback>
        </mc:AlternateContent>
      </w:r>
    </w:p>
    <w:p w14:paraId="24780B0E" w14:textId="458099F1" w:rsidR="00C23C34" w:rsidRPr="00F321DD" w:rsidRDefault="001571C1" w:rsidP="001571C1">
      <w:pPr>
        <w:jc w:val="both"/>
        <w:rPr>
          <w:rFonts w:ascii="Arial" w:hAnsi="Arial" w:cs="Arial"/>
        </w:rPr>
      </w:pPr>
      <w:r w:rsidRPr="00D26A08">
        <w:rPr>
          <w:rFonts w:ascii="Arial" w:hAnsi="Arial" w:cs="Arial"/>
        </w:rPr>
        <w:t>To account for the estimation uncertainty, one could subtract a</w:t>
      </w:r>
      <w:r w:rsidR="00C23C34" w:rsidRPr="00D26A08">
        <w:rPr>
          <w:rFonts w:ascii="Arial" w:hAnsi="Arial" w:cs="Arial"/>
        </w:rPr>
        <w:t xml:space="preserve"> parameter</w:t>
      </w:r>
      <w:r w:rsidRPr="00F321DD">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TA,margin</m:t>
            </m:r>
          </m:sub>
        </m:sSub>
      </m:oMath>
      <w:r w:rsidRPr="00D26A08">
        <w:rPr>
          <w:rFonts w:ascii="Arial" w:hAnsi="Arial" w:cs="Arial"/>
        </w:rPr>
        <w:t>, whose</w:t>
      </w:r>
      <w:r w:rsidR="00C23C34" w:rsidRPr="00D26A08">
        <w:rPr>
          <w:rFonts w:ascii="Arial" w:hAnsi="Arial" w:cs="Arial"/>
        </w:rPr>
        <w:t xml:space="preserve"> value could be </w:t>
      </w:r>
      <w:r w:rsidRPr="00F321DD">
        <w:rPr>
          <w:rFonts w:ascii="Arial" w:hAnsi="Arial" w:cs="Arial"/>
        </w:rPr>
        <w:t>made configurable</w:t>
      </w:r>
      <w:r w:rsidR="00C23C34" w:rsidRPr="00F321DD">
        <w:rPr>
          <w:rFonts w:ascii="Arial" w:hAnsi="Arial" w:cs="Arial"/>
        </w:rPr>
        <w:t>. T</w:t>
      </w:r>
      <w:r w:rsidRPr="00F321DD">
        <w:rPr>
          <w:rFonts w:ascii="Arial" w:hAnsi="Arial" w:cs="Arial"/>
        </w:rPr>
        <w:t>he</w:t>
      </w:r>
      <w:r w:rsidR="00C23C34" w:rsidRPr="00F321DD">
        <w:rPr>
          <w:rFonts w:ascii="Arial" w:hAnsi="Arial" w:cs="Arial"/>
        </w:rPr>
        <w:t xml:space="preserve"> </w:t>
      </w:r>
      <w:r w:rsidRPr="00F321DD">
        <w:rPr>
          <w:rFonts w:ascii="Arial" w:hAnsi="Arial" w:cs="Arial"/>
        </w:rPr>
        <w:t>network</w:t>
      </w:r>
      <w:r w:rsidR="00C23C34" w:rsidRPr="00F321DD">
        <w:rPr>
          <w:rFonts w:ascii="Arial" w:hAnsi="Arial" w:cs="Arial"/>
        </w:rPr>
        <w:t xml:space="preserve"> can configure this value by taking into the maximum TA uncertainty (this could include any factors that </w:t>
      </w:r>
      <w:r w:rsidRPr="00F321DD">
        <w:rPr>
          <w:rFonts w:ascii="Arial" w:hAnsi="Arial" w:cs="Arial"/>
        </w:rPr>
        <w:t>the network</w:t>
      </w:r>
      <w:r w:rsidR="00C23C34" w:rsidRPr="00F321DD">
        <w:rPr>
          <w:rFonts w:ascii="Arial" w:hAnsi="Arial" w:cs="Arial"/>
        </w:rPr>
        <w:t xml:space="preserve"> may deem necessary). In this way, UE uses it</w:t>
      </w:r>
      <w:r w:rsidRPr="00F321DD">
        <w:rPr>
          <w:rFonts w:ascii="Arial" w:hAnsi="Arial" w:cs="Arial"/>
        </w:rPr>
        <w:t>s</w:t>
      </w:r>
      <w:r w:rsidR="00C23C34" w:rsidRPr="00F321DD">
        <w:rPr>
          <w:rFonts w:ascii="Arial" w:hAnsi="Arial" w:cs="Arial"/>
        </w:rPr>
        <w:t xml:space="preserve"> estimate for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C23C34" w:rsidRPr="00D26A08">
        <w:rPr>
          <w:rFonts w:ascii="Arial" w:hAnsi="Arial" w:cs="Arial"/>
        </w:rPr>
        <w:t xml:space="preserve"> and applies</w:t>
      </w:r>
      <w:r w:rsidRPr="00D26A08">
        <w:rPr>
          <w:rFonts w:ascii="Arial" w:hAnsi="Arial" w:cs="Arial"/>
        </w:rPr>
        <w:t xml:space="preserve">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 offset</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 margin</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C23C34" w:rsidRPr="00D26A08">
        <w:rPr>
          <w:rFonts w:ascii="Arial" w:hAnsi="Arial" w:cs="Arial"/>
        </w:rPr>
        <w:t>.</w:t>
      </w:r>
      <w:r w:rsidRPr="00D26A08">
        <w:rPr>
          <w:rFonts w:ascii="Arial" w:hAnsi="Arial" w:cs="Arial"/>
        </w:rPr>
        <w:t xml:space="preserve"> With this, the TA correction in Msg2 does not need to support bipolar range.</w:t>
      </w:r>
    </w:p>
    <w:p w14:paraId="55C1C13A" w14:textId="26A86306" w:rsidR="00A34A29" w:rsidRPr="00F321DD" w:rsidRDefault="00A34A29" w:rsidP="001571C1">
      <w:pPr>
        <w:pStyle w:val="Observation"/>
        <w:overflowPunct w:val="0"/>
        <w:autoSpaceDE w:val="0"/>
        <w:autoSpaceDN w:val="0"/>
        <w:adjustRightInd w:val="0"/>
        <w:spacing w:line="240" w:lineRule="auto"/>
        <w:textAlignment w:val="baseline"/>
      </w:pPr>
      <w:bookmarkStart w:id="26" w:name="_Toc47672501"/>
      <w:r w:rsidRPr="00F321DD">
        <w:t>If</w:t>
      </w:r>
      <w:r w:rsidRPr="00F321DD">
        <w:rPr>
          <w:rFonts w:cs="Arial"/>
        </w:rPr>
        <w:t xml:space="preserve"> the self-calculated TA includes a margin for maximum TA estimation error, unipolar TA command in Msg2 is sufficient, i.e., bipolar TA command is not needed in Msg2.</w:t>
      </w:r>
      <w:bookmarkEnd w:id="26"/>
    </w:p>
    <w:p w14:paraId="25704D1C" w14:textId="5018F8EE" w:rsidR="001571C1" w:rsidRPr="00F321DD" w:rsidRDefault="001571C1" w:rsidP="001571C1">
      <w:pPr>
        <w:pStyle w:val="Proposal"/>
        <w:tabs>
          <w:tab w:val="num" w:pos="2439"/>
        </w:tabs>
      </w:pPr>
      <w:bookmarkStart w:id="27" w:name="_Toc47672512"/>
      <w:r w:rsidRPr="00F321DD">
        <w:t xml:space="preserve">The UE </w:t>
      </w:r>
      <w:r w:rsidR="00A34A29" w:rsidRPr="00F321DD">
        <w:rPr>
          <w:rFonts w:cs="Arial"/>
        </w:rPr>
        <w:t xml:space="preserve">applies TA equal to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offset</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margin</m:t>
                </m:r>
              </m:sub>
            </m:sSub>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r w:rsidR="00A34A29" w:rsidRPr="00D26A08">
        <w:rPr>
          <w:rFonts w:cs="Arial"/>
        </w:rPr>
        <w:t xml:space="preserve">, where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rsidR="00A34A29" w:rsidRPr="00D26A08">
        <w:rPr>
          <w:rFonts w:cs="Arial"/>
        </w:rPr>
        <w:t xml:space="preserve"> is UE’s estimate of TA,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offset</m:t>
            </m:r>
          </m:sub>
        </m:sSub>
      </m:oMath>
      <w:r w:rsidR="00A34A29" w:rsidRPr="00D26A08">
        <w:rPr>
          <w:rFonts w:cs="Arial"/>
        </w:rPr>
        <w:t xml:space="preserve"> depends on band and LTE/NR coexistence, and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TA,margin</m:t>
            </m:r>
          </m:sub>
        </m:sSub>
      </m:oMath>
      <w:r w:rsidR="00A34A29" w:rsidRPr="00D26A08">
        <w:rPr>
          <w:rFonts w:cs="Arial"/>
        </w:rPr>
        <w:t xml:space="preserve"> is a configurable parameter</w:t>
      </w:r>
      <w:r w:rsidR="00A34A29" w:rsidRPr="00D26A08">
        <w:t xml:space="preserve"> used as a margin to handle the UE’s estimation uncertainty</w:t>
      </w:r>
      <w:r w:rsidRPr="00F321DD">
        <w:t>.</w:t>
      </w:r>
      <w:bookmarkEnd w:id="27"/>
    </w:p>
    <w:p w14:paraId="01A70395" w14:textId="51487912" w:rsidR="00C23C34" w:rsidRPr="00F321DD" w:rsidRDefault="00C23C34" w:rsidP="00A34A29">
      <w:pPr>
        <w:jc w:val="both"/>
        <w:rPr>
          <w:rFonts w:ascii="Arial" w:hAnsi="Arial" w:cs="Arial"/>
        </w:rPr>
      </w:pPr>
      <w:r w:rsidRPr="00F321DD">
        <w:rPr>
          <w:rFonts w:ascii="Arial" w:hAnsi="Arial" w:cs="Arial"/>
        </w:rPr>
        <w:t>After acquiring the UE capabilities, the network will know if a UE is capable of supporting GNSS based transmit timing compensation during RRC connected. For UEs declaring this support the network can</w:t>
      </w:r>
      <w:r w:rsidR="00A34A29" w:rsidRPr="00F321DD">
        <w:rPr>
          <w:rFonts w:ascii="Arial" w:hAnsi="Arial" w:cs="Arial"/>
        </w:rPr>
        <w:t xml:space="preserve"> fully</w:t>
      </w:r>
      <w:r w:rsidRPr="00F321DD">
        <w:rPr>
          <w:rFonts w:ascii="Arial" w:hAnsi="Arial" w:cs="Arial"/>
        </w:rPr>
        <w:t xml:space="preserve"> rely on UE autonomous time correction, possibly with the requirement to enjoy GNSS measurement gaps.</w:t>
      </w:r>
    </w:p>
    <w:p w14:paraId="42ACDBDF" w14:textId="3BAF2913" w:rsidR="00354B25" w:rsidRPr="00F321DD" w:rsidRDefault="00354B25" w:rsidP="00354B25">
      <w:pPr>
        <w:jc w:val="both"/>
        <w:rPr>
          <w:rFonts w:ascii="Arial" w:hAnsi="Arial" w:cs="Arial"/>
          <w:lang w:eastAsia="ja-JP"/>
        </w:rPr>
      </w:pPr>
      <w:r w:rsidRPr="00F321DD">
        <w:rPr>
          <w:rFonts w:ascii="Arial" w:hAnsi="Arial" w:cs="Arial"/>
          <w:lang w:eastAsia="ja-JP"/>
        </w:rPr>
        <w:t xml:space="preserve">In the </w:t>
      </w:r>
      <w:r w:rsidRPr="00F321DD">
        <w:rPr>
          <w:rFonts w:ascii="Arial" w:hAnsi="Arial" w:cs="Arial"/>
          <w:lang w:eastAsia="en-GB"/>
        </w:rPr>
        <w:t xml:space="preserve">switching of the service links associated with different satellites, it is reasonable to allow </w:t>
      </w:r>
      <w:r w:rsidRPr="00F321DD">
        <w:rPr>
          <w:rFonts w:ascii="Arial" w:hAnsi="Arial" w:cs="Arial"/>
          <w:lang w:eastAsia="ja-JP"/>
        </w:rPr>
        <w:t>UEs supporting GNSS positioning in RRC connected to adjust its uplink transmission timing to connect to the new satellite without performing a PRACH transmission. In case RAN1 determines that NR should support NTN UEs not capable of GNSS in RRC connected mode, then uplink synchronization to the new satellite needs to be achieved by means of contention free PRACH transmission, and RAR reception of the TA. Alternatively, the UEs may rely on measurement gaps to perform GNSS measurement and then computes the needed TA to the new satellite.</w:t>
      </w:r>
    </w:p>
    <w:p w14:paraId="645984AC" w14:textId="33E8B362" w:rsidR="00354B25" w:rsidRPr="00D26A08" w:rsidRDefault="00354B25" w:rsidP="00A34A29">
      <w:pPr>
        <w:pStyle w:val="Proposal"/>
      </w:pPr>
      <w:bookmarkStart w:id="28" w:name="_Toc46513382"/>
      <w:bookmarkStart w:id="29" w:name="_Toc47672513"/>
      <w:r w:rsidRPr="00DF0849">
        <w:rPr>
          <w:rFonts w:cs="Arial"/>
          <w:lang w:eastAsia="ja-JP"/>
        </w:rPr>
        <w:t>UEs supporting RRC Connected GNSS measurements are allowed to autonomously adjust its TA to seamlessly continue its RRC connection after the service link switch from one satellite to another.</w:t>
      </w:r>
      <w:bookmarkEnd w:id="28"/>
      <w:bookmarkEnd w:id="29"/>
    </w:p>
    <w:p w14:paraId="3AD08013" w14:textId="6020A98F" w:rsidR="00634A04" w:rsidRPr="00F321DD" w:rsidRDefault="00634A04" w:rsidP="00634A04">
      <w:pPr>
        <w:jc w:val="both"/>
        <w:rPr>
          <w:rFonts w:ascii="Arial" w:hAnsi="Arial" w:cs="Arial"/>
        </w:rPr>
      </w:pPr>
      <w:r w:rsidRPr="00F321DD">
        <w:rPr>
          <w:rFonts w:ascii="Arial" w:hAnsi="Arial" w:cs="Arial"/>
        </w:rPr>
        <w:t>For UEs not supporting GNSS based transmit timing compensation during RRC connected, the network will need to maintain an accurate uplink timing by means of existing TA signaling and an indication of timing drift rate according to option A.2.</w:t>
      </w:r>
    </w:p>
    <w:p w14:paraId="6BCE3835" w14:textId="77777777" w:rsidR="00634A04" w:rsidRPr="00F321DD" w:rsidRDefault="00634A04" w:rsidP="00634A04">
      <w:pPr>
        <w:pStyle w:val="Proposal"/>
        <w:tabs>
          <w:tab w:val="num" w:pos="2439"/>
        </w:tabs>
      </w:pPr>
      <w:bookmarkStart w:id="30" w:name="_Toc47672514"/>
      <w:r w:rsidRPr="00F321DD">
        <w:t>For UEs not supporting autonomous timing compensation, uplink timing needs to rely on TA signaling and network indication of timing drift rate. The format of the network indication is FFS.</w:t>
      </w:r>
      <w:bookmarkEnd w:id="30"/>
      <w:r w:rsidRPr="00F321DD">
        <w:t xml:space="preserve"> </w:t>
      </w:r>
    </w:p>
    <w:p w14:paraId="4E2FC95A" w14:textId="77777777" w:rsidR="00C23C34" w:rsidRPr="00DF0849" w:rsidRDefault="00C23C34" w:rsidP="00C23C34">
      <w:pPr>
        <w:pStyle w:val="Heading1"/>
        <w:rPr>
          <w:lang w:val="en-US"/>
        </w:rPr>
      </w:pPr>
      <w:r w:rsidRPr="00DF0849">
        <w:rPr>
          <w:lang w:val="en-US"/>
        </w:rPr>
        <w:lastRenderedPageBreak/>
        <w:t>6</w:t>
      </w:r>
      <w:r w:rsidRPr="00DF0849">
        <w:rPr>
          <w:lang w:val="en-US"/>
        </w:rPr>
        <w:tab/>
        <w:t xml:space="preserve">UL frequency synchronization </w:t>
      </w:r>
    </w:p>
    <w:p w14:paraId="1A4C6820" w14:textId="50D9CF9C" w:rsidR="00C23C34" w:rsidRPr="00F321DD" w:rsidRDefault="00C23C34" w:rsidP="00B47C49">
      <w:pPr>
        <w:jc w:val="both"/>
        <w:rPr>
          <w:rFonts w:ascii="Arial" w:hAnsi="Arial" w:cs="Arial"/>
        </w:rPr>
      </w:pPr>
      <w:r w:rsidRPr="00D26A08">
        <w:rPr>
          <w:rFonts w:ascii="Arial" w:hAnsi="Arial" w:cs="Arial"/>
        </w:rPr>
        <w:t>It is assumed that all UEs should be able to determine and apply an uplink frequency compensation to the PRACH prea</w:t>
      </w:r>
      <w:r w:rsidRPr="00F321DD">
        <w:rPr>
          <w:rFonts w:ascii="Arial" w:hAnsi="Arial" w:cs="Arial"/>
        </w:rPr>
        <w:t>mble to eliminate the experienced Doppler effect according to option B.</w:t>
      </w:r>
      <w:r w:rsidR="00B47C49" w:rsidRPr="00F321DD">
        <w:rPr>
          <w:rFonts w:ascii="Arial" w:hAnsi="Arial" w:cs="Arial"/>
        </w:rPr>
        <w:t>1</w:t>
      </w:r>
      <w:r w:rsidRPr="00F321DD">
        <w:rPr>
          <w:rFonts w:ascii="Arial" w:hAnsi="Arial" w:cs="Arial"/>
        </w:rPr>
        <w:t xml:space="preserve">. </w:t>
      </w:r>
    </w:p>
    <w:p w14:paraId="004352B8" w14:textId="77777777" w:rsidR="00C23C34" w:rsidRPr="00F321DD" w:rsidRDefault="00C23C34" w:rsidP="00C23C34">
      <w:pPr>
        <w:pStyle w:val="Proposal"/>
        <w:tabs>
          <w:tab w:val="num" w:pos="2439"/>
        </w:tabs>
      </w:pPr>
      <w:bookmarkStart w:id="31" w:name="_Toc47672515"/>
      <w:r w:rsidRPr="00F321DD">
        <w:t>The UE should apply a frequency shift at PRACH transmission compensating for the frequency shift observed on the uplink due to the Doppler stemming from the satellite motion.</w:t>
      </w:r>
      <w:bookmarkEnd w:id="31"/>
    </w:p>
    <w:p w14:paraId="31C90E13" w14:textId="763EA786" w:rsidR="00C23C34" w:rsidRPr="00F321DD" w:rsidRDefault="00C23C34" w:rsidP="00B47C49">
      <w:pPr>
        <w:jc w:val="both"/>
        <w:rPr>
          <w:rFonts w:ascii="Arial" w:hAnsi="Arial" w:cs="Arial"/>
        </w:rPr>
      </w:pPr>
      <w:r w:rsidRPr="00F321DD">
        <w:rPr>
          <w:rFonts w:ascii="Arial" w:hAnsi="Arial" w:cs="Arial"/>
        </w:rPr>
        <w:t>After acquiring the UE capabilities, the network will know if a UE is capable of supporting GNSS based transmit frequency compensation during RRC connected. For UEs declaring this support</w:t>
      </w:r>
      <w:r w:rsidR="0060434C">
        <w:rPr>
          <w:rFonts w:ascii="Arial" w:hAnsi="Arial" w:cs="Arial"/>
        </w:rPr>
        <w:t>,</w:t>
      </w:r>
      <w:r w:rsidRPr="00F321DD">
        <w:rPr>
          <w:rFonts w:ascii="Arial" w:hAnsi="Arial" w:cs="Arial"/>
        </w:rPr>
        <w:t xml:space="preserve"> the network can </w:t>
      </w:r>
      <w:r w:rsidR="00B47C49" w:rsidRPr="00F321DD">
        <w:rPr>
          <w:rFonts w:ascii="Arial" w:hAnsi="Arial" w:cs="Arial"/>
        </w:rPr>
        <w:t xml:space="preserve">fully </w:t>
      </w:r>
      <w:r w:rsidRPr="00F321DD">
        <w:rPr>
          <w:rFonts w:ascii="Arial" w:hAnsi="Arial" w:cs="Arial"/>
        </w:rPr>
        <w:t>rely on</w:t>
      </w:r>
      <w:r w:rsidR="00B47C49" w:rsidRPr="00F321DD">
        <w:rPr>
          <w:rFonts w:ascii="Arial" w:hAnsi="Arial" w:cs="Arial"/>
        </w:rPr>
        <w:t xml:space="preserve"> </w:t>
      </w:r>
      <w:r w:rsidRPr="00F321DD">
        <w:rPr>
          <w:rFonts w:ascii="Arial" w:hAnsi="Arial" w:cs="Arial"/>
        </w:rPr>
        <w:t>UE autonomous frequency correction, possibly with the requirement to enjoy GNSS measurement gaps.</w:t>
      </w:r>
    </w:p>
    <w:p w14:paraId="092DAF59" w14:textId="65F10FD3" w:rsidR="00C23C34" w:rsidRPr="00F321DD" w:rsidRDefault="00C23C34" w:rsidP="00B47C49">
      <w:pPr>
        <w:jc w:val="both"/>
        <w:rPr>
          <w:rFonts w:ascii="Arial" w:hAnsi="Arial" w:cs="Arial"/>
        </w:rPr>
      </w:pPr>
      <w:r w:rsidRPr="00F321DD">
        <w:rPr>
          <w:rFonts w:ascii="Arial" w:hAnsi="Arial" w:cs="Arial"/>
        </w:rPr>
        <w:t xml:space="preserve">For UEs not supporting GNSS based transmit frequency compensation during RRC connected, the network will need to maintain an accurate uplink frequency synchronization by means of network indication to the UE according to option B.2.  </w:t>
      </w:r>
    </w:p>
    <w:p w14:paraId="6B29A109" w14:textId="09F82B5E" w:rsidR="00060E90" w:rsidRPr="00F321DD" w:rsidRDefault="00C23C34" w:rsidP="00060E90">
      <w:pPr>
        <w:pStyle w:val="Proposal"/>
        <w:tabs>
          <w:tab w:val="num" w:pos="2439"/>
        </w:tabs>
      </w:pPr>
      <w:bookmarkStart w:id="32" w:name="_Toc47672516"/>
      <w:r w:rsidRPr="00F321DD">
        <w:t>For UEs not supporting autonomous frequency compensation, uplink frequency accuracy needs to rely on network indication. The format of the network indication is FFS.</w:t>
      </w:r>
      <w:bookmarkEnd w:id="32"/>
      <w:r w:rsidRPr="00F321DD">
        <w:t xml:space="preserve"> </w:t>
      </w:r>
    </w:p>
    <w:p w14:paraId="5300F849" w14:textId="18599418" w:rsidR="00C01F33" w:rsidRPr="00DF0849" w:rsidRDefault="00C01F33" w:rsidP="00CE0424">
      <w:pPr>
        <w:pStyle w:val="Heading1"/>
        <w:rPr>
          <w:lang w:val="en-US"/>
        </w:rPr>
      </w:pPr>
      <w:r w:rsidRPr="00DF0849">
        <w:rPr>
          <w:lang w:val="en-US"/>
        </w:rPr>
        <w:t>Conclusion</w:t>
      </w:r>
    </w:p>
    <w:p w14:paraId="5457A0DE" w14:textId="5E111BDF" w:rsidR="00EC6B83" w:rsidRPr="00F321DD" w:rsidRDefault="00F03DAF" w:rsidP="00D6223C">
      <w:pPr>
        <w:jc w:val="both"/>
        <w:rPr>
          <w:rFonts w:ascii="Arial" w:hAnsi="Arial"/>
          <w:b/>
          <w:bCs/>
        </w:rPr>
      </w:pPr>
      <w:r w:rsidRPr="00D26A08">
        <w:rPr>
          <w:rFonts w:ascii="Arial" w:hAnsi="Arial"/>
        </w:rPr>
        <w:t>In the previous sections</w:t>
      </w:r>
      <w:r w:rsidR="00C836D8" w:rsidRPr="00D26A08">
        <w:rPr>
          <w:rFonts w:ascii="Arial" w:hAnsi="Arial"/>
        </w:rPr>
        <w:t xml:space="preserve">, we </w:t>
      </w:r>
      <w:r w:rsidR="00D6223C" w:rsidRPr="00F321DD">
        <w:rPr>
          <w:rFonts w:ascii="Arial" w:hAnsi="Arial"/>
        </w:rPr>
        <w:t xml:space="preserve">discuss </w:t>
      </w:r>
      <w:r w:rsidR="00DE5308" w:rsidRPr="00F321DD">
        <w:rPr>
          <w:rFonts w:ascii="Arial" w:hAnsi="Arial"/>
        </w:rPr>
        <w:t>UL time and frequency synchronization</w:t>
      </w:r>
      <w:r w:rsidR="007434CD" w:rsidRPr="00F321DD">
        <w:rPr>
          <w:rFonts w:ascii="Arial" w:hAnsi="Arial"/>
        </w:rPr>
        <w:t xml:space="preserve"> enhancements for NTN</w:t>
      </w:r>
      <w:r w:rsidR="0053334B" w:rsidRPr="00F321DD">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19238216" w14:textId="77777777" w:rsidR="004B737B"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47672495" w:history="1">
        <w:r w:rsidR="004B737B" w:rsidRPr="003114F7">
          <w:rPr>
            <w:rStyle w:val="Hyperlink"/>
            <w:noProof/>
          </w:rPr>
          <w:t>Observation 1</w:t>
        </w:r>
        <w:r w:rsidR="004B737B">
          <w:rPr>
            <w:rFonts w:asciiTheme="minorHAnsi" w:hAnsiTheme="minorHAnsi"/>
            <w:b w:val="0"/>
            <w:noProof/>
          </w:rPr>
          <w:tab/>
        </w:r>
        <w:r w:rsidR="004B737B" w:rsidRPr="003114F7">
          <w:rPr>
            <w:rStyle w:val="Hyperlink"/>
            <w:noProof/>
          </w:rPr>
          <w:t>Satellite ephemeris can be represented in different forms including orbital elements and orbital state vector.</w:t>
        </w:r>
      </w:hyperlink>
    </w:p>
    <w:p w14:paraId="02423CF5" w14:textId="77777777" w:rsidR="004B737B" w:rsidRDefault="004B737B">
      <w:pPr>
        <w:pStyle w:val="TableofFigures"/>
        <w:tabs>
          <w:tab w:val="right" w:leader="dot" w:pos="9629"/>
        </w:tabs>
        <w:rPr>
          <w:rFonts w:asciiTheme="minorHAnsi" w:hAnsiTheme="minorHAnsi"/>
          <w:b w:val="0"/>
          <w:noProof/>
        </w:rPr>
      </w:pPr>
      <w:hyperlink w:anchor="_Toc47672496" w:history="1">
        <w:r w:rsidRPr="003114F7">
          <w:rPr>
            <w:rStyle w:val="Hyperlink"/>
            <w:noProof/>
          </w:rPr>
          <w:t>Observation 2</w:t>
        </w:r>
        <w:r>
          <w:rPr>
            <w:rFonts w:asciiTheme="minorHAnsi" w:hAnsiTheme="minorHAnsi"/>
            <w:b w:val="0"/>
            <w:noProof/>
          </w:rPr>
          <w:tab/>
        </w:r>
        <w:r w:rsidRPr="003114F7">
          <w:rPr>
            <w:rStyle w:val="Hyperlink"/>
            <w:noProof/>
          </w:rPr>
          <w:t>Different forms of orbit representation can be translated to each other.</w:t>
        </w:r>
      </w:hyperlink>
    </w:p>
    <w:p w14:paraId="42292C41" w14:textId="77777777" w:rsidR="004B737B" w:rsidRDefault="004B737B">
      <w:pPr>
        <w:pStyle w:val="TableofFigures"/>
        <w:tabs>
          <w:tab w:val="right" w:leader="dot" w:pos="9629"/>
        </w:tabs>
        <w:rPr>
          <w:rFonts w:asciiTheme="minorHAnsi" w:hAnsiTheme="minorHAnsi"/>
          <w:b w:val="0"/>
          <w:noProof/>
        </w:rPr>
      </w:pPr>
      <w:hyperlink w:anchor="_Toc47672497" w:history="1">
        <w:r w:rsidRPr="003114F7">
          <w:rPr>
            <w:rStyle w:val="Hyperlink"/>
            <w:noProof/>
          </w:rPr>
          <w:t>Observation 3</w:t>
        </w:r>
        <w:r>
          <w:rPr>
            <w:rFonts w:asciiTheme="minorHAnsi" w:hAnsiTheme="minorHAnsi"/>
            <w:b w:val="0"/>
            <w:noProof/>
          </w:rPr>
          <w:tab/>
        </w:r>
        <w:r w:rsidRPr="003114F7">
          <w:rPr>
            <w:rStyle w:val="Hyperlink"/>
            <w:noProof/>
          </w:rPr>
          <w:t xml:space="preserve">Orbit representation is associated with a reference time, whether it is implicit or explicit. </w:t>
        </w:r>
        <w:r w:rsidRPr="003114F7">
          <w:rPr>
            <w:rStyle w:val="Hyperlink"/>
            <w:rFonts w:cs="Arial"/>
            <w:noProof/>
          </w:rPr>
          <w:t>In NTN, UE would need to derive satellite position, timing and/or Doppler at times different from the reference time.</w:t>
        </w:r>
      </w:hyperlink>
    </w:p>
    <w:p w14:paraId="40938003" w14:textId="77777777" w:rsidR="004B737B" w:rsidRDefault="004B737B">
      <w:pPr>
        <w:pStyle w:val="TableofFigures"/>
        <w:tabs>
          <w:tab w:val="right" w:leader="dot" w:pos="9629"/>
        </w:tabs>
        <w:rPr>
          <w:rFonts w:asciiTheme="minorHAnsi" w:hAnsiTheme="minorHAnsi"/>
          <w:b w:val="0"/>
          <w:noProof/>
        </w:rPr>
      </w:pPr>
      <w:hyperlink w:anchor="_Toc47672498" w:history="1">
        <w:r w:rsidRPr="003114F7">
          <w:rPr>
            <w:rStyle w:val="Hyperlink"/>
            <w:noProof/>
          </w:rPr>
          <w:t>Observation 4</w:t>
        </w:r>
        <w:r>
          <w:rPr>
            <w:rFonts w:asciiTheme="minorHAnsi" w:hAnsiTheme="minorHAnsi"/>
            <w:b w:val="0"/>
            <w:noProof/>
          </w:rPr>
          <w:tab/>
        </w:r>
        <w:r w:rsidRPr="003114F7">
          <w:rPr>
            <w:rStyle w:val="Hyperlink"/>
            <w:noProof/>
          </w:rPr>
          <w:t xml:space="preserve">Ephemeris is needed not only for the serving satellite but also other satellites for the </w:t>
        </w:r>
        <w:r w:rsidRPr="003114F7">
          <w:rPr>
            <w:rStyle w:val="Hyperlink"/>
            <w:rFonts w:cs="Arial"/>
            <w:noProof/>
          </w:rPr>
          <w:t>purposes of e.g. RRM measurements, idle/inactive measurements, handover, etc., which would be discussed in RAN2.</w:t>
        </w:r>
      </w:hyperlink>
    </w:p>
    <w:p w14:paraId="75A2C356" w14:textId="77777777" w:rsidR="004B737B" w:rsidRDefault="004B737B">
      <w:pPr>
        <w:pStyle w:val="TableofFigures"/>
        <w:tabs>
          <w:tab w:val="right" w:leader="dot" w:pos="9629"/>
        </w:tabs>
        <w:rPr>
          <w:rFonts w:asciiTheme="minorHAnsi" w:hAnsiTheme="minorHAnsi"/>
          <w:b w:val="0"/>
          <w:noProof/>
        </w:rPr>
      </w:pPr>
      <w:hyperlink w:anchor="_Toc47672499" w:history="1">
        <w:r w:rsidRPr="003114F7">
          <w:rPr>
            <w:rStyle w:val="Hyperlink"/>
            <w:noProof/>
          </w:rPr>
          <w:t>Observation 5</w:t>
        </w:r>
        <w:r>
          <w:rPr>
            <w:rFonts w:asciiTheme="minorHAnsi" w:hAnsiTheme="minorHAnsi"/>
            <w:b w:val="0"/>
            <w:noProof/>
          </w:rPr>
          <w:tab/>
        </w:r>
        <w:r w:rsidRPr="003114F7">
          <w:rPr>
            <w:rStyle w:val="Hyperlink"/>
            <w:noProof/>
          </w:rPr>
          <w:t>Satellite ephemeris with sufficient accuracy to support timing and frequency offset pre-compensation shall be made available to the NR NTN UE.</w:t>
        </w:r>
      </w:hyperlink>
    </w:p>
    <w:p w14:paraId="002CA8B1" w14:textId="77777777" w:rsidR="004B737B" w:rsidRDefault="004B737B">
      <w:pPr>
        <w:pStyle w:val="TableofFigures"/>
        <w:tabs>
          <w:tab w:val="right" w:leader="dot" w:pos="9629"/>
        </w:tabs>
        <w:rPr>
          <w:rFonts w:asciiTheme="minorHAnsi" w:hAnsiTheme="minorHAnsi"/>
          <w:b w:val="0"/>
          <w:noProof/>
        </w:rPr>
      </w:pPr>
      <w:hyperlink w:anchor="_Toc47672500" w:history="1">
        <w:r w:rsidRPr="003114F7">
          <w:rPr>
            <w:rStyle w:val="Hyperlink"/>
            <w:noProof/>
          </w:rPr>
          <w:t>Observation 6</w:t>
        </w:r>
        <w:r>
          <w:rPr>
            <w:rFonts w:asciiTheme="minorHAnsi" w:hAnsiTheme="minorHAnsi"/>
            <w:b w:val="0"/>
            <w:noProof/>
          </w:rPr>
          <w:tab/>
        </w:r>
        <w:r w:rsidRPr="003114F7">
          <w:rPr>
            <w:rStyle w:val="Hyperlink"/>
            <w:noProof/>
          </w:rPr>
          <w:t>Satellite ephemeris with sufficient accuracy to support timing and frequency offset pre-compensation can come with low frequency updates.</w:t>
        </w:r>
      </w:hyperlink>
    </w:p>
    <w:p w14:paraId="4C5037E3" w14:textId="77777777" w:rsidR="004B737B" w:rsidRDefault="004B737B">
      <w:pPr>
        <w:pStyle w:val="TableofFigures"/>
        <w:tabs>
          <w:tab w:val="right" w:leader="dot" w:pos="9629"/>
        </w:tabs>
        <w:rPr>
          <w:rFonts w:asciiTheme="minorHAnsi" w:hAnsiTheme="minorHAnsi"/>
          <w:b w:val="0"/>
          <w:noProof/>
        </w:rPr>
      </w:pPr>
      <w:hyperlink w:anchor="_Toc47672501" w:history="1">
        <w:r w:rsidRPr="003114F7">
          <w:rPr>
            <w:rStyle w:val="Hyperlink"/>
            <w:noProof/>
          </w:rPr>
          <w:t>Observation 7</w:t>
        </w:r>
        <w:r>
          <w:rPr>
            <w:rFonts w:asciiTheme="minorHAnsi" w:hAnsiTheme="minorHAnsi"/>
            <w:b w:val="0"/>
            <w:noProof/>
          </w:rPr>
          <w:tab/>
        </w:r>
        <w:r w:rsidRPr="003114F7">
          <w:rPr>
            <w:rStyle w:val="Hyperlink"/>
            <w:noProof/>
          </w:rPr>
          <w:t>If</w:t>
        </w:r>
        <w:r w:rsidRPr="003114F7">
          <w:rPr>
            <w:rStyle w:val="Hyperlink"/>
            <w:rFonts w:cs="Arial"/>
            <w:noProof/>
          </w:rPr>
          <w:t xml:space="preserve"> the self-calculated TA includes a margin for maximum TA estimation error, unipolar TA command in Msg2 is sufficient, i.e., bipolar TA command is not needed in Msg2.</w:t>
        </w:r>
      </w:hyperlink>
    </w:p>
    <w:p w14:paraId="3FD31450" w14:textId="3C7CD20A" w:rsidR="009F06A5" w:rsidRPr="00D26A08" w:rsidRDefault="009F06A5" w:rsidP="009F06A5">
      <w:pPr>
        <w:pStyle w:val="BodyText"/>
      </w:pPr>
      <w:r w:rsidRPr="00D26A08">
        <w:rPr>
          <w:b/>
          <w:bCs/>
        </w:rPr>
        <w:fldChar w:fldCharType="end"/>
      </w:r>
    </w:p>
    <w:p w14:paraId="1FBF2552" w14:textId="77777777" w:rsidR="009F06A5" w:rsidRPr="00F321DD" w:rsidRDefault="009F06A5" w:rsidP="009F06A5">
      <w:pPr>
        <w:pStyle w:val="BodyText"/>
      </w:pPr>
      <w:r w:rsidRPr="00F321DD">
        <w:t>Based on the discussion in the previous sections we propose the following:</w:t>
      </w:r>
    </w:p>
    <w:p w14:paraId="500D87A6" w14:textId="77777777" w:rsidR="004B737B"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47672502" w:history="1">
        <w:r w:rsidR="004B737B" w:rsidRPr="009054B9">
          <w:rPr>
            <w:rStyle w:val="Hyperlink"/>
            <w:noProof/>
          </w:rPr>
          <w:t>Proposal 1</w:t>
        </w:r>
        <w:r w:rsidR="004B737B">
          <w:rPr>
            <w:rFonts w:asciiTheme="minorHAnsi" w:hAnsiTheme="minorHAnsi"/>
            <w:b w:val="0"/>
            <w:noProof/>
          </w:rPr>
          <w:tab/>
        </w:r>
        <w:r w:rsidR="004B737B" w:rsidRPr="009054B9">
          <w:rPr>
            <w:rStyle w:val="Hyperlink"/>
            <w:noProof/>
          </w:rPr>
          <w:t xml:space="preserve">NR NTN UE shall be capable of using an acquired GNSS position and satellite ephemeris to calculate pre-compensation of timing and frequency </w:t>
        </w:r>
        <w:r w:rsidR="004B737B" w:rsidRPr="009054B9">
          <w:rPr>
            <w:rStyle w:val="Hyperlink"/>
            <w:noProof/>
          </w:rPr>
          <w:lastRenderedPageBreak/>
          <w:t>offset and apply the calculated values accordingly at least in RRC idle and RRC inactive mode.</w:t>
        </w:r>
      </w:hyperlink>
    </w:p>
    <w:p w14:paraId="3219D46E" w14:textId="77777777" w:rsidR="004B737B" w:rsidRDefault="004B737B">
      <w:pPr>
        <w:pStyle w:val="TableofFigures"/>
        <w:tabs>
          <w:tab w:val="right" w:leader="dot" w:pos="9629"/>
        </w:tabs>
        <w:rPr>
          <w:rFonts w:asciiTheme="minorHAnsi" w:hAnsiTheme="minorHAnsi"/>
          <w:b w:val="0"/>
          <w:noProof/>
        </w:rPr>
      </w:pPr>
      <w:hyperlink w:anchor="_Toc47672503" w:history="1">
        <w:r w:rsidRPr="009054B9">
          <w:rPr>
            <w:rStyle w:val="Hyperlink"/>
            <w:noProof/>
          </w:rPr>
          <w:t>Proposal 2</w:t>
        </w:r>
        <w:r>
          <w:rPr>
            <w:rFonts w:asciiTheme="minorHAnsi" w:hAnsiTheme="minorHAnsi"/>
            <w:b w:val="0"/>
            <w:noProof/>
          </w:rPr>
          <w:tab/>
        </w:r>
        <w:r w:rsidRPr="009054B9">
          <w:rPr>
            <w:rStyle w:val="Hyperlink"/>
            <w:noProof/>
          </w:rPr>
          <w:t>RAN1 to determine the need for support of GNSS in RRC connected for the purpose of timing and frequency adjustment.</w:t>
        </w:r>
      </w:hyperlink>
    </w:p>
    <w:p w14:paraId="23F753BC" w14:textId="77777777" w:rsidR="004B737B" w:rsidRDefault="004B737B">
      <w:pPr>
        <w:pStyle w:val="TableofFigures"/>
        <w:tabs>
          <w:tab w:val="right" w:leader="dot" w:pos="9629"/>
        </w:tabs>
        <w:rPr>
          <w:rFonts w:asciiTheme="minorHAnsi" w:hAnsiTheme="minorHAnsi"/>
          <w:b w:val="0"/>
          <w:noProof/>
        </w:rPr>
      </w:pPr>
      <w:hyperlink w:anchor="_Toc47672504" w:history="1">
        <w:r w:rsidRPr="009054B9">
          <w:rPr>
            <w:rStyle w:val="Hyperlink"/>
            <w:noProof/>
          </w:rPr>
          <w:t>Proposal 3</w:t>
        </w:r>
        <w:r>
          <w:rPr>
            <w:rFonts w:asciiTheme="minorHAnsi" w:hAnsiTheme="minorHAnsi"/>
            <w:b w:val="0"/>
            <w:noProof/>
          </w:rPr>
          <w:tab/>
        </w:r>
        <w:r w:rsidRPr="009054B9">
          <w:rPr>
            <w:rStyle w:val="Hyperlink"/>
            <w:noProof/>
          </w:rPr>
          <w:t>RAN1 to determine the need for support of GNSS measurement gaps in RRC connected.</w:t>
        </w:r>
      </w:hyperlink>
    </w:p>
    <w:p w14:paraId="6254099E" w14:textId="77777777" w:rsidR="004B737B" w:rsidRDefault="004B737B">
      <w:pPr>
        <w:pStyle w:val="TableofFigures"/>
        <w:tabs>
          <w:tab w:val="right" w:leader="dot" w:pos="9629"/>
        </w:tabs>
        <w:rPr>
          <w:rFonts w:asciiTheme="minorHAnsi" w:hAnsiTheme="minorHAnsi"/>
          <w:b w:val="0"/>
          <w:noProof/>
        </w:rPr>
      </w:pPr>
      <w:hyperlink w:anchor="_Toc47672505" w:history="1">
        <w:r w:rsidRPr="009054B9">
          <w:rPr>
            <w:rStyle w:val="Hyperlink"/>
            <w:noProof/>
          </w:rPr>
          <w:t>Proposal 4</w:t>
        </w:r>
        <w:r>
          <w:rPr>
            <w:rFonts w:asciiTheme="minorHAnsi" w:hAnsiTheme="minorHAnsi"/>
            <w:b w:val="0"/>
            <w:noProof/>
          </w:rPr>
          <w:tab/>
        </w:r>
        <w:r w:rsidRPr="009054B9">
          <w:rPr>
            <w:rStyle w:val="Hyperlink"/>
            <w:noProof/>
          </w:rPr>
          <w:t>RAN1 to determine if NR NTN UE should indicate capability support for simultaneous GNSS and NR operation, with or without GNSS measurement gaps.</w:t>
        </w:r>
      </w:hyperlink>
    </w:p>
    <w:p w14:paraId="4D01E6B0" w14:textId="77777777" w:rsidR="004B737B" w:rsidRDefault="004B737B">
      <w:pPr>
        <w:pStyle w:val="TableofFigures"/>
        <w:tabs>
          <w:tab w:val="right" w:leader="dot" w:pos="9629"/>
        </w:tabs>
        <w:rPr>
          <w:rFonts w:asciiTheme="minorHAnsi" w:hAnsiTheme="minorHAnsi"/>
          <w:b w:val="0"/>
          <w:noProof/>
        </w:rPr>
      </w:pPr>
      <w:hyperlink w:anchor="_Toc47672506" w:history="1">
        <w:r w:rsidRPr="009054B9">
          <w:rPr>
            <w:rStyle w:val="Hyperlink"/>
            <w:noProof/>
          </w:rPr>
          <w:t>Proposal 5</w:t>
        </w:r>
        <w:r>
          <w:rPr>
            <w:rFonts w:asciiTheme="minorHAnsi" w:hAnsiTheme="minorHAnsi"/>
            <w:b w:val="0"/>
            <w:noProof/>
          </w:rPr>
          <w:tab/>
        </w:r>
        <w:r w:rsidRPr="009054B9">
          <w:rPr>
            <w:rStyle w:val="Hyperlink"/>
            <w:noProof/>
          </w:rPr>
          <w:t>A GNSS position acquired by an NR NTN UE should be associated with a timer, after which’s expiration the position is deemed no longer useful.</w:t>
        </w:r>
      </w:hyperlink>
    </w:p>
    <w:p w14:paraId="5CFBC42E" w14:textId="77777777" w:rsidR="004B737B" w:rsidRDefault="004B737B">
      <w:pPr>
        <w:pStyle w:val="TableofFigures"/>
        <w:tabs>
          <w:tab w:val="right" w:leader="dot" w:pos="9629"/>
        </w:tabs>
        <w:rPr>
          <w:rFonts w:asciiTheme="minorHAnsi" w:hAnsiTheme="minorHAnsi"/>
          <w:b w:val="0"/>
          <w:noProof/>
        </w:rPr>
      </w:pPr>
      <w:hyperlink w:anchor="_Toc47672507" w:history="1">
        <w:r w:rsidRPr="009054B9">
          <w:rPr>
            <w:rStyle w:val="Hyperlink"/>
            <w:noProof/>
          </w:rPr>
          <w:t>Proposal 6</w:t>
        </w:r>
        <w:r>
          <w:rPr>
            <w:rFonts w:asciiTheme="minorHAnsi" w:hAnsiTheme="minorHAnsi"/>
            <w:b w:val="0"/>
            <w:noProof/>
          </w:rPr>
          <w:tab/>
        </w:r>
        <w:r w:rsidRPr="009054B9">
          <w:rPr>
            <w:rStyle w:val="Hyperlink"/>
            <w:noProof/>
          </w:rPr>
          <w:t>RAN1 to determine the relevance of the case of NTN coverage but no GNSS coverage.</w:t>
        </w:r>
      </w:hyperlink>
    </w:p>
    <w:p w14:paraId="41A1F52C" w14:textId="77777777" w:rsidR="004B737B" w:rsidRDefault="004B737B">
      <w:pPr>
        <w:pStyle w:val="TableofFigures"/>
        <w:tabs>
          <w:tab w:val="right" w:leader="dot" w:pos="9629"/>
        </w:tabs>
        <w:rPr>
          <w:rFonts w:asciiTheme="minorHAnsi" w:hAnsiTheme="minorHAnsi"/>
          <w:b w:val="0"/>
          <w:noProof/>
        </w:rPr>
      </w:pPr>
      <w:hyperlink w:anchor="_Toc47672508" w:history="1">
        <w:r w:rsidRPr="009054B9">
          <w:rPr>
            <w:rStyle w:val="Hyperlink"/>
            <w:noProof/>
          </w:rPr>
          <w:t>Proposal 7</w:t>
        </w:r>
        <w:r>
          <w:rPr>
            <w:rFonts w:asciiTheme="minorHAnsi" w:hAnsiTheme="minorHAnsi"/>
            <w:b w:val="0"/>
            <w:noProof/>
          </w:rPr>
          <w:tab/>
        </w:r>
        <w:r w:rsidRPr="009054B9">
          <w:rPr>
            <w:rStyle w:val="Hyperlink"/>
            <w:noProof/>
          </w:rPr>
          <w:t>NTN UE should have the capability of satellite trajectory calculation based on a provided orbit representation at a reference time.</w:t>
        </w:r>
      </w:hyperlink>
    </w:p>
    <w:p w14:paraId="7D47785D" w14:textId="77777777" w:rsidR="004B737B" w:rsidRDefault="004B737B">
      <w:pPr>
        <w:pStyle w:val="TableofFigures"/>
        <w:tabs>
          <w:tab w:val="right" w:leader="dot" w:pos="9629"/>
        </w:tabs>
        <w:rPr>
          <w:rFonts w:asciiTheme="minorHAnsi" w:hAnsiTheme="minorHAnsi"/>
          <w:b w:val="0"/>
          <w:noProof/>
        </w:rPr>
      </w:pPr>
      <w:hyperlink w:anchor="_Toc47672509" w:history="1">
        <w:r w:rsidRPr="009054B9">
          <w:rPr>
            <w:rStyle w:val="Hyperlink"/>
            <w:noProof/>
          </w:rPr>
          <w:t>Proposal 8</w:t>
        </w:r>
        <w:r>
          <w:rPr>
            <w:rFonts w:asciiTheme="minorHAnsi" w:hAnsiTheme="minorHAnsi"/>
            <w:b w:val="0"/>
            <w:noProof/>
          </w:rPr>
          <w:tab/>
        </w:r>
        <w:r w:rsidRPr="009054B9">
          <w:rPr>
            <w:rStyle w:val="Hyperlink"/>
            <w:noProof/>
          </w:rPr>
          <w:t>RAN1 to study the required accuracy of satellite ephemeris to support timing and frequency offset pre-compensation.</w:t>
        </w:r>
      </w:hyperlink>
    </w:p>
    <w:p w14:paraId="39E190C1" w14:textId="77777777" w:rsidR="004B737B" w:rsidRDefault="004B737B">
      <w:pPr>
        <w:pStyle w:val="TableofFigures"/>
        <w:tabs>
          <w:tab w:val="right" w:leader="dot" w:pos="9629"/>
        </w:tabs>
        <w:rPr>
          <w:rFonts w:asciiTheme="minorHAnsi" w:hAnsiTheme="minorHAnsi"/>
          <w:b w:val="0"/>
          <w:noProof/>
        </w:rPr>
      </w:pPr>
      <w:hyperlink w:anchor="_Toc47672510" w:history="1">
        <w:r w:rsidRPr="009054B9">
          <w:rPr>
            <w:rStyle w:val="Hyperlink"/>
            <w:noProof/>
          </w:rPr>
          <w:t>Proposal 9</w:t>
        </w:r>
        <w:r>
          <w:rPr>
            <w:rFonts w:asciiTheme="minorHAnsi" w:hAnsiTheme="minorHAnsi"/>
            <w:b w:val="0"/>
            <w:noProof/>
          </w:rPr>
          <w:tab/>
        </w:r>
        <w:r w:rsidRPr="009054B9">
          <w:rPr>
            <w:rStyle w:val="Hyperlink"/>
            <w:noProof/>
          </w:rPr>
          <w:t>The serving satellite should serve as the point of time and frequency reference in an NTN.</w:t>
        </w:r>
      </w:hyperlink>
    </w:p>
    <w:p w14:paraId="1D7B1774" w14:textId="77777777" w:rsidR="004B737B" w:rsidRDefault="004B737B">
      <w:pPr>
        <w:pStyle w:val="TableofFigures"/>
        <w:tabs>
          <w:tab w:val="right" w:leader="dot" w:pos="9629"/>
        </w:tabs>
        <w:rPr>
          <w:rFonts w:asciiTheme="minorHAnsi" w:hAnsiTheme="minorHAnsi"/>
          <w:b w:val="0"/>
          <w:noProof/>
        </w:rPr>
      </w:pPr>
      <w:hyperlink w:anchor="_Toc47672511" w:history="1">
        <w:r w:rsidRPr="009054B9">
          <w:rPr>
            <w:rStyle w:val="Hyperlink"/>
            <w:noProof/>
          </w:rPr>
          <w:t>Proposal 10</w:t>
        </w:r>
        <w:r>
          <w:rPr>
            <w:rFonts w:asciiTheme="minorHAnsi" w:hAnsiTheme="minorHAnsi"/>
            <w:b w:val="0"/>
            <w:noProof/>
          </w:rPr>
          <w:tab/>
        </w:r>
        <w:r w:rsidRPr="009054B9">
          <w:rPr>
            <w:rStyle w:val="Hyperlink"/>
            <w:noProof/>
          </w:rPr>
          <w:t>The UE should apply a TA at PRACH transmission comprising the estimated RTT and the maximum estimation uncertainty.</w:t>
        </w:r>
      </w:hyperlink>
    </w:p>
    <w:p w14:paraId="163F80BB" w14:textId="77777777" w:rsidR="004B737B" w:rsidRDefault="004B737B">
      <w:pPr>
        <w:pStyle w:val="TableofFigures"/>
        <w:tabs>
          <w:tab w:val="right" w:leader="dot" w:pos="9629"/>
        </w:tabs>
        <w:rPr>
          <w:rFonts w:asciiTheme="minorHAnsi" w:hAnsiTheme="minorHAnsi"/>
          <w:b w:val="0"/>
          <w:noProof/>
        </w:rPr>
      </w:pPr>
      <w:hyperlink w:anchor="_Toc47672512" w:history="1">
        <w:r w:rsidRPr="009054B9">
          <w:rPr>
            <w:rStyle w:val="Hyperlink"/>
            <w:noProof/>
          </w:rPr>
          <w:t>Proposal 11</w:t>
        </w:r>
        <w:r>
          <w:rPr>
            <w:rFonts w:asciiTheme="minorHAnsi" w:hAnsiTheme="minorHAnsi"/>
            <w:b w:val="0"/>
            <w:noProof/>
          </w:rPr>
          <w:tab/>
        </w:r>
        <w:r w:rsidRPr="009054B9">
          <w:rPr>
            <w:rStyle w:val="Hyperlink"/>
            <w:noProof/>
          </w:rPr>
          <w:t xml:space="preserve">The UE </w:t>
        </w:r>
        <w:r w:rsidRPr="009054B9">
          <w:rPr>
            <w:rStyle w:val="Hyperlink"/>
            <w:rFonts w:cs="Arial"/>
            <w:noProof/>
          </w:rPr>
          <w:t xml:space="preserve">applies TA equal to </w:t>
        </w:r>
        <m:oMath>
          <m:r>
            <m:rPr>
              <m:sty m:val="bi"/>
            </m:rPr>
            <w:rPr>
              <w:rStyle w:val="Hyperlink"/>
              <w:rFonts w:ascii="Cambria Math" w:hAnsi="Cambria Math" w:cs="Arial"/>
              <w:noProof/>
            </w:rPr>
            <m:t>NTA+NTA, offset-NTA, margin×Tc</m:t>
          </m:r>
        </m:oMath>
        <w:r w:rsidRPr="009054B9">
          <w:rPr>
            <w:rStyle w:val="Hyperlink"/>
            <w:rFonts w:cs="Arial"/>
            <w:noProof/>
          </w:rPr>
          <w:t xml:space="preserve">, where </w:t>
        </w:r>
        <m:oMath>
          <m:r>
            <m:rPr>
              <m:sty m:val="bi"/>
            </m:rPr>
            <w:rPr>
              <w:rStyle w:val="Hyperlink"/>
              <w:rFonts w:ascii="Cambria Math" w:hAnsi="Cambria Math" w:cs="Arial"/>
              <w:noProof/>
            </w:rPr>
            <m:t>NTA</m:t>
          </m:r>
        </m:oMath>
        <w:r w:rsidRPr="009054B9">
          <w:rPr>
            <w:rStyle w:val="Hyperlink"/>
            <w:rFonts w:cs="Arial"/>
            <w:noProof/>
          </w:rPr>
          <w:t xml:space="preserve"> is UE’s estimate of TA, </w:t>
        </w:r>
        <m:oMath>
          <m:r>
            <m:rPr>
              <m:sty m:val="bi"/>
            </m:rPr>
            <w:rPr>
              <w:rStyle w:val="Hyperlink"/>
              <w:rFonts w:ascii="Cambria Math" w:hAnsi="Cambria Math" w:cs="Arial"/>
              <w:noProof/>
            </w:rPr>
            <m:t>NTA, offset</m:t>
          </m:r>
        </m:oMath>
        <w:r w:rsidRPr="009054B9">
          <w:rPr>
            <w:rStyle w:val="Hyperlink"/>
            <w:rFonts w:cs="Arial"/>
            <w:noProof/>
          </w:rPr>
          <w:t xml:space="preserve"> depends on band and LTE/NR coexistence, and </w:t>
        </w:r>
        <m:oMath>
          <m:r>
            <m:rPr>
              <m:sty m:val="bi"/>
            </m:rPr>
            <w:rPr>
              <w:rStyle w:val="Hyperlink"/>
              <w:rFonts w:ascii="Cambria Math" w:hAnsi="Cambria Math" w:cs="Arial"/>
              <w:noProof/>
            </w:rPr>
            <m:t>NTA,margin</m:t>
          </m:r>
        </m:oMath>
        <w:r w:rsidRPr="009054B9">
          <w:rPr>
            <w:rStyle w:val="Hyperlink"/>
            <w:rFonts w:cs="Arial"/>
            <w:noProof/>
          </w:rPr>
          <w:t xml:space="preserve"> is a configurable parameter</w:t>
        </w:r>
        <w:r w:rsidRPr="009054B9">
          <w:rPr>
            <w:rStyle w:val="Hyperlink"/>
            <w:noProof/>
          </w:rPr>
          <w:t xml:space="preserve"> used as a margin to handle the UE’s estimation uncertainty.</w:t>
        </w:r>
      </w:hyperlink>
    </w:p>
    <w:p w14:paraId="1D3A3345" w14:textId="77777777" w:rsidR="004B737B" w:rsidRDefault="004B737B">
      <w:pPr>
        <w:pStyle w:val="TableofFigures"/>
        <w:tabs>
          <w:tab w:val="right" w:leader="dot" w:pos="9629"/>
        </w:tabs>
        <w:rPr>
          <w:rFonts w:asciiTheme="minorHAnsi" w:hAnsiTheme="minorHAnsi"/>
          <w:b w:val="0"/>
          <w:noProof/>
        </w:rPr>
      </w:pPr>
      <w:hyperlink w:anchor="_Toc47672513" w:history="1">
        <w:r w:rsidRPr="009054B9">
          <w:rPr>
            <w:rStyle w:val="Hyperlink"/>
            <w:noProof/>
          </w:rPr>
          <w:t>Proposal 12</w:t>
        </w:r>
        <w:r>
          <w:rPr>
            <w:rFonts w:asciiTheme="minorHAnsi" w:hAnsiTheme="minorHAnsi"/>
            <w:b w:val="0"/>
            <w:noProof/>
          </w:rPr>
          <w:tab/>
        </w:r>
        <w:r w:rsidRPr="009054B9">
          <w:rPr>
            <w:rStyle w:val="Hyperlink"/>
            <w:rFonts w:cs="Arial"/>
            <w:noProof/>
            <w:lang w:eastAsia="ja-JP"/>
          </w:rPr>
          <w:t>UEs supporting RRC Connected GNSS measurements are allowed to autonomously adjust its TA to seamlessly continue its RRC connection after the service link switch from one satellite to another.</w:t>
        </w:r>
      </w:hyperlink>
    </w:p>
    <w:p w14:paraId="5CCD8D6B" w14:textId="77777777" w:rsidR="004B737B" w:rsidRDefault="004B737B">
      <w:pPr>
        <w:pStyle w:val="TableofFigures"/>
        <w:tabs>
          <w:tab w:val="right" w:leader="dot" w:pos="9629"/>
        </w:tabs>
        <w:rPr>
          <w:rFonts w:asciiTheme="minorHAnsi" w:hAnsiTheme="minorHAnsi"/>
          <w:b w:val="0"/>
          <w:noProof/>
        </w:rPr>
      </w:pPr>
      <w:hyperlink w:anchor="_Toc47672514" w:history="1">
        <w:r w:rsidRPr="009054B9">
          <w:rPr>
            <w:rStyle w:val="Hyperlink"/>
            <w:noProof/>
          </w:rPr>
          <w:t>Proposal 13</w:t>
        </w:r>
        <w:r>
          <w:rPr>
            <w:rFonts w:asciiTheme="minorHAnsi" w:hAnsiTheme="minorHAnsi"/>
            <w:b w:val="0"/>
            <w:noProof/>
          </w:rPr>
          <w:tab/>
        </w:r>
        <w:r w:rsidRPr="009054B9">
          <w:rPr>
            <w:rStyle w:val="Hyperlink"/>
            <w:noProof/>
          </w:rPr>
          <w:t>For UEs not supporting autonomous timing compensation, uplink timing needs to rely on TA signaling and network indication of timing drift rate. The format of the network indication is FFS.</w:t>
        </w:r>
      </w:hyperlink>
    </w:p>
    <w:p w14:paraId="54B73A48" w14:textId="77777777" w:rsidR="004B737B" w:rsidRDefault="004B737B">
      <w:pPr>
        <w:pStyle w:val="TableofFigures"/>
        <w:tabs>
          <w:tab w:val="right" w:leader="dot" w:pos="9629"/>
        </w:tabs>
        <w:rPr>
          <w:rFonts w:asciiTheme="minorHAnsi" w:hAnsiTheme="minorHAnsi"/>
          <w:b w:val="0"/>
          <w:noProof/>
        </w:rPr>
      </w:pPr>
      <w:hyperlink w:anchor="_Toc47672515" w:history="1">
        <w:r w:rsidRPr="009054B9">
          <w:rPr>
            <w:rStyle w:val="Hyperlink"/>
            <w:noProof/>
          </w:rPr>
          <w:t>Proposal 14</w:t>
        </w:r>
        <w:r>
          <w:rPr>
            <w:rFonts w:asciiTheme="minorHAnsi" w:hAnsiTheme="minorHAnsi"/>
            <w:b w:val="0"/>
            <w:noProof/>
          </w:rPr>
          <w:tab/>
        </w:r>
        <w:r w:rsidRPr="009054B9">
          <w:rPr>
            <w:rStyle w:val="Hyperlink"/>
            <w:noProof/>
          </w:rPr>
          <w:t>The UE should apply a frequency shift at PRACH transmission compensating for the frequency shift observed on the uplink due to the Doppler stemming from the satellite motion.</w:t>
        </w:r>
      </w:hyperlink>
    </w:p>
    <w:p w14:paraId="1443B207" w14:textId="77777777" w:rsidR="004B737B" w:rsidRDefault="004B737B">
      <w:pPr>
        <w:pStyle w:val="TableofFigures"/>
        <w:tabs>
          <w:tab w:val="right" w:leader="dot" w:pos="9629"/>
        </w:tabs>
        <w:rPr>
          <w:rFonts w:asciiTheme="minorHAnsi" w:hAnsiTheme="minorHAnsi"/>
          <w:b w:val="0"/>
          <w:noProof/>
        </w:rPr>
      </w:pPr>
      <w:hyperlink w:anchor="_Toc47672516" w:history="1">
        <w:r w:rsidRPr="009054B9">
          <w:rPr>
            <w:rStyle w:val="Hyperlink"/>
            <w:noProof/>
          </w:rPr>
          <w:t>Proposal 15</w:t>
        </w:r>
        <w:r>
          <w:rPr>
            <w:rFonts w:asciiTheme="minorHAnsi" w:hAnsiTheme="minorHAnsi"/>
            <w:b w:val="0"/>
            <w:noProof/>
          </w:rPr>
          <w:tab/>
        </w:r>
        <w:r w:rsidRPr="009054B9">
          <w:rPr>
            <w:rStyle w:val="Hyperlink"/>
            <w:noProof/>
          </w:rPr>
          <w:t>For UEs not supporting autonomous frequency compensation, uplink frequency accuracy needs to rely on network indication. The format of the network indication is FFS.</w:t>
        </w:r>
      </w:hyperlink>
    </w:p>
    <w:p w14:paraId="7FDB652A" w14:textId="0411702B" w:rsidR="009F06A5" w:rsidRPr="00D26A08" w:rsidRDefault="009F06A5" w:rsidP="00752E43">
      <w:pPr>
        <w:rPr>
          <w:highlight w:val="yellow"/>
        </w:rPr>
      </w:pPr>
      <w:r w:rsidRPr="00D26A08">
        <w:rPr>
          <w:b/>
          <w:bCs/>
        </w:rPr>
        <w:fldChar w:fldCharType="end"/>
      </w:r>
    </w:p>
    <w:p w14:paraId="43055322" w14:textId="1A950341" w:rsidR="00185E4A" w:rsidRPr="00DF0849" w:rsidRDefault="00F507D1" w:rsidP="00114AE3">
      <w:pPr>
        <w:pStyle w:val="Heading1"/>
        <w:rPr>
          <w:lang w:val="en-US"/>
        </w:rPr>
      </w:pPr>
      <w:bookmarkStart w:id="33" w:name="_In-sequence_SDU_delivery"/>
      <w:bookmarkEnd w:id="33"/>
      <w:r w:rsidRPr="00DF0849">
        <w:rPr>
          <w:lang w:val="en-US"/>
        </w:rPr>
        <w:t>References</w:t>
      </w:r>
      <w:bookmarkStart w:id="34" w:name="_Ref510504022"/>
      <w:bookmarkStart w:id="35" w:name="_Ref510814820"/>
      <w:bookmarkStart w:id="36" w:name="_Ref174151459"/>
      <w:bookmarkStart w:id="37" w:name="_Ref189809556"/>
    </w:p>
    <w:p w14:paraId="6FDAFAD3" w14:textId="4EDEE523" w:rsidR="0081032C" w:rsidRPr="00F321DD" w:rsidRDefault="0081032C" w:rsidP="0081032C">
      <w:pPr>
        <w:pStyle w:val="Reference"/>
      </w:pPr>
      <w:bookmarkStart w:id="38" w:name="_Ref42716514"/>
      <w:bookmarkStart w:id="39" w:name="_Ref45286859"/>
      <w:bookmarkEnd w:id="34"/>
      <w:bookmarkEnd w:id="35"/>
      <w:bookmarkEnd w:id="36"/>
      <w:bookmarkEnd w:id="37"/>
      <w:r w:rsidRPr="00D26A08">
        <w:t>RP-201256, “</w:t>
      </w:r>
      <w:r w:rsidRPr="00D26A08">
        <w:rPr>
          <w:rFonts w:eastAsia="Batang" w:cs="Arial"/>
        </w:rPr>
        <w:t>Solutions for NR to support non-terrestrial networks (NTN),</w:t>
      </w:r>
      <w:r w:rsidRPr="00D26A08">
        <w:t>” 3GPP TSG RAN #88e, June 20</w:t>
      </w:r>
      <w:bookmarkEnd w:id="38"/>
      <w:r w:rsidRPr="00D26A08">
        <w:t>20.</w:t>
      </w:r>
      <w:bookmarkEnd w:id="39"/>
    </w:p>
    <w:p w14:paraId="45C1EEF4" w14:textId="31FA463D" w:rsidR="00060E90" w:rsidRPr="00F321DD" w:rsidRDefault="00060E90" w:rsidP="00060E90">
      <w:pPr>
        <w:pStyle w:val="Reference"/>
      </w:pPr>
      <w:bookmarkStart w:id="40" w:name="_Ref31288069"/>
      <w:bookmarkStart w:id="41" w:name="_Ref46426533"/>
      <w:r w:rsidRPr="00F321DD">
        <w:t>RP-193235, New Study WID on NB-IoT/</w:t>
      </w:r>
      <w:proofErr w:type="spellStart"/>
      <w:r w:rsidRPr="00F321DD">
        <w:t>eTMC</w:t>
      </w:r>
      <w:proofErr w:type="spellEnd"/>
      <w:r w:rsidRPr="00F321DD">
        <w:t xml:space="preserve"> support for NTN, RAN#86</w:t>
      </w:r>
      <w:bookmarkEnd w:id="40"/>
      <w:r w:rsidRPr="00F321DD">
        <w:t>.</w:t>
      </w:r>
      <w:bookmarkEnd w:id="41"/>
    </w:p>
    <w:p w14:paraId="7DB519C5" w14:textId="1F8DBEFA" w:rsidR="00282C71" w:rsidRPr="00F321DD" w:rsidRDefault="00060E90" w:rsidP="00C23C34">
      <w:pPr>
        <w:pStyle w:val="Reference"/>
      </w:pPr>
      <w:r w:rsidRPr="00F321DD">
        <w:lastRenderedPageBreak/>
        <w:t>TR 38.821, Solutions for NR to support non-terrestrial networks.</w:t>
      </w:r>
    </w:p>
    <w:p w14:paraId="1BE4480E" w14:textId="0EED3BF4" w:rsidR="00153113" w:rsidRPr="00F321DD" w:rsidRDefault="00153113" w:rsidP="00C23C34">
      <w:pPr>
        <w:pStyle w:val="Reference"/>
      </w:pPr>
      <w:bookmarkStart w:id="42" w:name="_Ref47000997"/>
      <w:proofErr w:type="spellStart"/>
      <w:r w:rsidRPr="00F321DD">
        <w:t>Eng</w:t>
      </w:r>
      <w:proofErr w:type="spellEnd"/>
      <w:r w:rsidRPr="00F321DD">
        <w:t>, M., and René Schwarz,</w:t>
      </w:r>
      <w:r w:rsidRPr="00F321DD">
        <w:rPr>
          <w:rFonts w:hint="eastAsia"/>
        </w:rPr>
        <w:t xml:space="preserve"> "Keplerian Orbit Elements </w:t>
      </w:r>
      <w:r w:rsidRPr="00F321DD">
        <w:rPr>
          <w:rFonts w:hint="eastAsia"/>
        </w:rPr>
        <w:t>→</w:t>
      </w:r>
      <w:r w:rsidRPr="00F321DD">
        <w:rPr>
          <w:rFonts w:hint="eastAsia"/>
        </w:rPr>
        <w:t xml:space="preserve"> Cartesian State Vectors</w:t>
      </w:r>
      <w:r w:rsidRPr="00F321DD">
        <w:t>," available at https://downloads.rene-schwarz.com/download/M001-Keplerian_Orbit_Elements_to_Cartesian_State_Vectors.pdf.</w:t>
      </w:r>
      <w:bookmarkEnd w:id="42"/>
    </w:p>
    <w:p w14:paraId="7C3F9AFC" w14:textId="2275BFAA" w:rsidR="00153113" w:rsidRPr="00F321DD" w:rsidRDefault="00153113" w:rsidP="00C23C34">
      <w:pPr>
        <w:pStyle w:val="Reference"/>
      </w:pPr>
      <w:bookmarkStart w:id="43" w:name="_Ref47001000"/>
      <w:proofErr w:type="spellStart"/>
      <w:r w:rsidRPr="00F321DD">
        <w:t>Eng</w:t>
      </w:r>
      <w:proofErr w:type="spellEnd"/>
      <w:r w:rsidRPr="00F321DD">
        <w:rPr>
          <w:rFonts w:hint="eastAsia"/>
        </w:rPr>
        <w:t>, M., and Ren</w:t>
      </w:r>
      <w:r w:rsidRPr="00F321DD">
        <w:rPr>
          <w:rFonts w:hint="eastAsia"/>
        </w:rPr>
        <w:t>é</w:t>
      </w:r>
      <w:r w:rsidRPr="00F321DD">
        <w:rPr>
          <w:rFonts w:hint="eastAsia"/>
        </w:rPr>
        <w:t xml:space="preserve"> Schwarz, "Cartesian State Vectors </w:t>
      </w:r>
      <w:r w:rsidRPr="00F321DD">
        <w:rPr>
          <w:rFonts w:hint="eastAsia"/>
        </w:rPr>
        <w:t>→</w:t>
      </w:r>
      <w:r w:rsidRPr="00F321DD">
        <w:rPr>
          <w:rFonts w:hint="eastAsia"/>
        </w:rPr>
        <w:t xml:space="preserve"> Keplerian Orbit Elements," available at </w:t>
      </w:r>
      <w:r w:rsidRPr="00F321DD">
        <w:t>https://downloads.rene-schwarz.com/download/M002-Cartesian_State_Vectors_to_Keplerian_Orbit_Elements.pdf.</w:t>
      </w:r>
      <w:bookmarkEnd w:id="43"/>
    </w:p>
    <w:p w14:paraId="27AA8903" w14:textId="30C33328" w:rsidR="00282C71" w:rsidRPr="00DF0849" w:rsidRDefault="00282C71" w:rsidP="00282C71">
      <w:pPr>
        <w:pStyle w:val="Heading1"/>
        <w:rPr>
          <w:lang w:val="en-US"/>
        </w:rPr>
      </w:pPr>
      <w:r w:rsidRPr="00DF0849">
        <w:rPr>
          <w:lang w:val="en-US"/>
        </w:rPr>
        <w:t>Annex: Simulations of impact of inaccurate satellite ephemeris or UE position data</w:t>
      </w:r>
    </w:p>
    <w:p w14:paraId="5457080A" w14:textId="77777777" w:rsidR="00282C71" w:rsidRPr="00F321DD" w:rsidRDefault="00282C71" w:rsidP="00282C71">
      <w:pPr>
        <w:jc w:val="both"/>
        <w:rPr>
          <w:rFonts w:ascii="Arial" w:hAnsi="Arial" w:cs="Arial"/>
          <w:lang w:eastAsia="ja-JP"/>
        </w:rPr>
      </w:pPr>
      <w:r w:rsidRPr="00D26A08">
        <w:rPr>
          <w:rFonts w:ascii="Arial" w:hAnsi="Arial" w:cs="Arial"/>
          <w:lang w:eastAsia="ja-JP"/>
        </w:rPr>
        <w:t>In the following, the impact of either inaccurate satellite ephemeris or UE position on the prediction of propagation delay and Doppler shift is investigated through simulations.</w:t>
      </w:r>
    </w:p>
    <w:p w14:paraId="29DC3A35" w14:textId="77777777" w:rsidR="00282C71" w:rsidRPr="00DF0849" w:rsidRDefault="00282C71" w:rsidP="00282C71">
      <w:pPr>
        <w:pStyle w:val="Heading2"/>
        <w:rPr>
          <w:lang w:val="en-US"/>
        </w:rPr>
      </w:pPr>
      <w:r w:rsidRPr="00DF0849">
        <w:rPr>
          <w:lang w:val="en-US"/>
        </w:rPr>
        <w:t>A1</w:t>
      </w:r>
      <w:r w:rsidRPr="00DF0849">
        <w:rPr>
          <w:lang w:val="en-US"/>
        </w:rPr>
        <w:tab/>
        <w:t>Simulation assumptions</w:t>
      </w:r>
    </w:p>
    <w:p w14:paraId="00B1BD2D" w14:textId="77777777" w:rsidR="00282C71" w:rsidRPr="00F321DD" w:rsidRDefault="00282C71" w:rsidP="00282C71">
      <w:pPr>
        <w:jc w:val="both"/>
        <w:rPr>
          <w:rFonts w:ascii="Arial" w:hAnsi="Arial" w:cs="Arial"/>
        </w:rPr>
      </w:pPr>
      <w:r w:rsidRPr="00D26A08">
        <w:rPr>
          <w:rFonts w:ascii="Arial" w:hAnsi="Arial" w:cs="Arial"/>
        </w:rPr>
        <w:t>The true satellite ephemeris is assumed to be a circular orbit of a LEO satellite at 600 km altitude and zero inclination angle. Earth’s rotation is modelled. The satellite is orbiting in the same direction as the Earth’s rotation.</w:t>
      </w:r>
    </w:p>
    <w:p w14:paraId="3DB32A7C" w14:textId="77777777" w:rsidR="00282C71" w:rsidRPr="00F321DD" w:rsidRDefault="00282C71" w:rsidP="00282C71">
      <w:pPr>
        <w:jc w:val="both"/>
        <w:rPr>
          <w:rFonts w:ascii="Arial" w:hAnsi="Arial" w:cs="Arial"/>
        </w:rPr>
      </w:pPr>
      <w:r w:rsidRPr="00F321DD">
        <w:rPr>
          <w:rFonts w:ascii="Arial" w:hAnsi="Arial" w:cs="Arial"/>
        </w:rPr>
        <w:t>Two different error sources are investigated, as detailed below.</w:t>
      </w:r>
    </w:p>
    <w:p w14:paraId="1D71A74C" w14:textId="325D7F13" w:rsidR="00282C71" w:rsidRPr="00DF0849" w:rsidRDefault="00282C71" w:rsidP="00282C71">
      <w:pPr>
        <w:pStyle w:val="Heading2"/>
        <w:rPr>
          <w:lang w:val="en-US"/>
        </w:rPr>
      </w:pPr>
      <w:r w:rsidRPr="00DF0849">
        <w:rPr>
          <w:lang w:val="en-US"/>
        </w:rPr>
        <w:t>A2</w:t>
      </w:r>
      <w:r w:rsidRPr="00DF0849">
        <w:rPr>
          <w:lang w:val="en-US"/>
        </w:rPr>
        <w:tab/>
        <w:t>Satellite ephemeris inaccuracy</w:t>
      </w:r>
    </w:p>
    <w:p w14:paraId="2C2BE228" w14:textId="45537854" w:rsidR="00282C71" w:rsidRPr="00D26A08" w:rsidRDefault="00282C71" w:rsidP="00282C71">
      <w:pPr>
        <w:jc w:val="both"/>
        <w:rPr>
          <w:rFonts w:ascii="Arial" w:hAnsi="Arial" w:cs="Arial"/>
        </w:rPr>
      </w:pPr>
      <w:r w:rsidRPr="00D26A08">
        <w:rPr>
          <w:rFonts w:ascii="Arial" w:hAnsi="Arial" w:cs="Arial"/>
        </w:rPr>
        <w:t xml:space="preserve">In the simulations where satellite ephemeris inaccuracy is investigated, the error is modelled as an offset with fixed magnitude in one of three different directions, as illustrated in </w:t>
      </w:r>
      <w:r w:rsidRPr="00D26A08">
        <w:rPr>
          <w:rFonts w:ascii="Arial" w:hAnsi="Arial" w:cs="Arial"/>
        </w:rPr>
        <w:fldChar w:fldCharType="begin"/>
      </w:r>
      <w:r w:rsidRPr="00F321DD">
        <w:rPr>
          <w:rFonts w:ascii="Arial" w:hAnsi="Arial" w:cs="Arial"/>
        </w:rPr>
        <w:instrText xml:space="preserve"> REF _Ref31621593 \h  \* MERGEFORMAT </w:instrText>
      </w:r>
      <w:r w:rsidRPr="00D26A08">
        <w:rPr>
          <w:rFonts w:ascii="Arial" w:hAnsi="Arial" w:cs="Arial"/>
        </w:rPr>
      </w:r>
      <w:r w:rsidRPr="00D26A08">
        <w:rPr>
          <w:rFonts w:ascii="Arial" w:hAnsi="Arial" w:cs="Arial"/>
        </w:rPr>
        <w:fldChar w:fldCharType="separate"/>
      </w:r>
      <w:r w:rsidR="004B737B" w:rsidRPr="004B737B">
        <w:rPr>
          <w:rFonts w:ascii="Arial" w:hAnsi="Arial" w:cs="Arial"/>
        </w:rPr>
        <w:t>Figure 1</w:t>
      </w:r>
      <w:r w:rsidRPr="00D26A08">
        <w:rPr>
          <w:rFonts w:ascii="Arial" w:hAnsi="Arial" w:cs="Arial"/>
        </w:rPr>
        <w:fldChar w:fldCharType="end"/>
      </w:r>
      <w:r w:rsidRPr="00D26A08">
        <w:rPr>
          <w:rFonts w:ascii="Arial" w:hAnsi="Arial" w:cs="Arial"/>
        </w:rPr>
        <w:t>:</w:t>
      </w:r>
    </w:p>
    <w:p w14:paraId="2A8FE050" w14:textId="77777777" w:rsidR="00282C71" w:rsidRPr="00DF0849" w:rsidRDefault="00282C71" w:rsidP="00DF0849">
      <w:pPr>
        <w:pStyle w:val="ListParagraph"/>
        <w:numPr>
          <w:ilvl w:val="0"/>
          <w:numId w:val="17"/>
        </w:numPr>
        <w:jc w:val="both"/>
        <w:rPr>
          <w:rFonts w:ascii="Arial" w:hAnsi="Arial" w:cs="Arial"/>
          <w:lang w:val="en-US"/>
        </w:rPr>
      </w:pPr>
      <w:r w:rsidRPr="00F321DD">
        <w:rPr>
          <w:rFonts w:ascii="Arial" w:hAnsi="Arial" w:cs="Arial"/>
          <w:lang w:val="en-US"/>
        </w:rPr>
        <w:t>In-track error: directed as the velocity vector of the satellite</w:t>
      </w:r>
    </w:p>
    <w:p w14:paraId="6C9D3759" w14:textId="77777777" w:rsidR="00282C71" w:rsidRPr="00DF0849" w:rsidRDefault="00282C71" w:rsidP="00DF0849">
      <w:pPr>
        <w:pStyle w:val="ListParagraph"/>
        <w:numPr>
          <w:ilvl w:val="0"/>
          <w:numId w:val="17"/>
        </w:numPr>
        <w:jc w:val="both"/>
        <w:rPr>
          <w:rFonts w:ascii="Arial" w:hAnsi="Arial" w:cs="Arial"/>
          <w:lang w:val="en-US"/>
        </w:rPr>
      </w:pPr>
      <w:r w:rsidRPr="00F321DD">
        <w:rPr>
          <w:rFonts w:ascii="Arial" w:hAnsi="Arial" w:cs="Arial"/>
          <w:lang w:val="en-US"/>
        </w:rPr>
        <w:t>Radial error: directed downward</w:t>
      </w:r>
    </w:p>
    <w:p w14:paraId="7052A753" w14:textId="71A26178" w:rsidR="00282C71" w:rsidRPr="00DF0849" w:rsidRDefault="00282C71" w:rsidP="00DF0849">
      <w:pPr>
        <w:pStyle w:val="ListParagraph"/>
        <w:numPr>
          <w:ilvl w:val="0"/>
          <w:numId w:val="17"/>
        </w:numPr>
        <w:jc w:val="both"/>
        <w:rPr>
          <w:rFonts w:ascii="Arial" w:hAnsi="Arial" w:cs="Arial"/>
          <w:lang w:val="en-US"/>
        </w:rPr>
      </w:pPr>
      <w:r w:rsidRPr="00F321DD">
        <w:rPr>
          <w:rFonts w:ascii="Arial" w:hAnsi="Arial" w:cs="Arial"/>
          <w:lang w:val="en-US"/>
        </w:rPr>
        <w:t>Cross-track error: directed perpendicular to the other two</w:t>
      </w:r>
    </w:p>
    <w:p w14:paraId="2DEA1E81" w14:textId="77777777" w:rsidR="00282C71" w:rsidRPr="00D26A08" w:rsidRDefault="00282C71" w:rsidP="00282C71">
      <w:pPr>
        <w:keepNext/>
        <w:jc w:val="center"/>
        <w:rPr>
          <w:rFonts w:ascii="Arial" w:hAnsi="Arial" w:cs="Arial"/>
          <w:sz w:val="20"/>
          <w:szCs w:val="20"/>
        </w:rPr>
      </w:pPr>
    </w:p>
    <w:p w14:paraId="09A0FE61" w14:textId="77777777" w:rsidR="00282C71" w:rsidRPr="00D26A08" w:rsidRDefault="00282C71" w:rsidP="00282C71">
      <w:pPr>
        <w:keepNext/>
        <w:jc w:val="center"/>
        <w:rPr>
          <w:rFonts w:ascii="Arial" w:hAnsi="Arial" w:cs="Arial"/>
          <w:sz w:val="20"/>
          <w:szCs w:val="20"/>
        </w:rPr>
      </w:pPr>
      <w:r w:rsidRPr="00D26A08">
        <w:rPr>
          <w:noProof/>
        </w:rPr>
        <w:drawing>
          <wp:inline distT="0" distB="0" distL="0" distR="0" wp14:anchorId="15FEF32B" wp14:editId="1E683B24">
            <wp:extent cx="3537858" cy="268877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5356" cy="2694470"/>
                    </a:xfrm>
                    <a:prstGeom prst="rect">
                      <a:avLst/>
                    </a:prstGeom>
                    <a:noFill/>
                    <a:ln>
                      <a:noFill/>
                    </a:ln>
                  </pic:spPr>
                </pic:pic>
              </a:graphicData>
            </a:graphic>
          </wp:inline>
        </w:drawing>
      </w:r>
    </w:p>
    <w:p w14:paraId="004B759B" w14:textId="4ED8DC09" w:rsidR="00282C71" w:rsidRPr="00D26A08" w:rsidRDefault="00282C71" w:rsidP="00282C71">
      <w:pPr>
        <w:pStyle w:val="Caption"/>
        <w:jc w:val="center"/>
        <w:rPr>
          <w:rFonts w:ascii="Arial" w:hAnsi="Arial" w:cs="Arial"/>
          <w:sz w:val="20"/>
          <w:szCs w:val="20"/>
        </w:rPr>
      </w:pPr>
      <w:bookmarkStart w:id="44" w:name="_Ref31621593"/>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1</w:t>
      </w:r>
      <w:r w:rsidRPr="00D26A08">
        <w:rPr>
          <w:rFonts w:ascii="Arial" w:hAnsi="Arial" w:cs="Arial"/>
          <w:sz w:val="20"/>
          <w:szCs w:val="20"/>
        </w:rPr>
        <w:fldChar w:fldCharType="end"/>
      </w:r>
      <w:bookmarkEnd w:id="44"/>
      <w:r w:rsidRPr="00D26A08">
        <w:rPr>
          <w:rFonts w:ascii="Arial" w:hAnsi="Arial" w:cs="Arial"/>
          <w:sz w:val="20"/>
          <w:szCs w:val="20"/>
        </w:rPr>
        <w:t>: In-track, cross-track and radial directions.</w:t>
      </w:r>
    </w:p>
    <w:p w14:paraId="0805E6B2" w14:textId="2F2837FE" w:rsidR="00282C71" w:rsidRPr="00F321DD" w:rsidRDefault="00282C71" w:rsidP="00282C71">
      <w:pPr>
        <w:jc w:val="both"/>
        <w:rPr>
          <w:rFonts w:ascii="Arial" w:hAnsi="Arial" w:cs="Arial"/>
        </w:rPr>
      </w:pPr>
      <w:r w:rsidRPr="00F321DD">
        <w:rPr>
          <w:rFonts w:ascii="Arial" w:hAnsi="Arial" w:cs="Arial"/>
        </w:rPr>
        <w:t xml:space="preserve">Different error magnitudes ranging from 1 km to 32 km are simulated. The UE velocity as well as the UE positioning error are assumed to be zero in this case. </w:t>
      </w:r>
    </w:p>
    <w:p w14:paraId="142654B3" w14:textId="6BC9F0C3" w:rsidR="00282C71" w:rsidRPr="00DF0849" w:rsidRDefault="00282C71" w:rsidP="00256377">
      <w:pPr>
        <w:pStyle w:val="Heading3"/>
        <w:rPr>
          <w:lang w:val="en-US"/>
        </w:rPr>
      </w:pPr>
      <w:r w:rsidRPr="00DF0849">
        <w:rPr>
          <w:lang w:val="en-US"/>
        </w:rPr>
        <w:t>A</w:t>
      </w:r>
      <w:r w:rsidR="00256377" w:rsidRPr="00DF0849">
        <w:rPr>
          <w:lang w:val="en-US"/>
        </w:rPr>
        <w:t>2.1</w:t>
      </w:r>
      <w:r w:rsidRPr="00DF0849">
        <w:rPr>
          <w:lang w:val="en-US"/>
        </w:rPr>
        <w:tab/>
      </w:r>
      <w:r w:rsidR="00256377" w:rsidRPr="00DF0849">
        <w:rPr>
          <w:lang w:val="en-US"/>
        </w:rPr>
        <w:t>Impact of ephemeris inaccuracy on p</w:t>
      </w:r>
      <w:r w:rsidRPr="00DF0849">
        <w:rPr>
          <w:lang w:val="en-US"/>
        </w:rPr>
        <w:t>ropagation delay</w:t>
      </w:r>
    </w:p>
    <w:p w14:paraId="1D8C0ACE" w14:textId="6A95AB1E" w:rsidR="00282C71" w:rsidRPr="00F321DD" w:rsidRDefault="00282C71" w:rsidP="00282C71">
      <w:pPr>
        <w:jc w:val="both"/>
        <w:rPr>
          <w:rFonts w:ascii="Arial" w:hAnsi="Arial" w:cs="Arial"/>
        </w:rPr>
      </w:pPr>
      <w:r w:rsidRPr="00D26A08">
        <w:rPr>
          <w:rFonts w:ascii="Arial" w:hAnsi="Arial" w:cs="Arial"/>
        </w:rPr>
        <w:t xml:space="preserve">The propagation delay is determined by the distance between the satellite and the UE. Therefore, the ephemeris error of the satellite will obviously have the largest impact on propagation delay prediction error when the ephemeris error is directed along the satellite-UE direction. This can be seen in </w:t>
      </w:r>
      <w:r w:rsidRPr="00D26A08">
        <w:rPr>
          <w:rFonts w:ascii="Arial" w:hAnsi="Arial" w:cs="Arial"/>
        </w:rPr>
        <w:fldChar w:fldCharType="begin"/>
      </w:r>
      <w:r w:rsidRPr="00F321DD">
        <w:rPr>
          <w:rFonts w:ascii="Arial" w:hAnsi="Arial" w:cs="Arial"/>
        </w:rPr>
        <w:instrText xml:space="preserve"> REF _Ref31018592 \h  \* MERGEFORMAT </w:instrText>
      </w:r>
      <w:r w:rsidRPr="00D26A08">
        <w:rPr>
          <w:rFonts w:ascii="Arial" w:hAnsi="Arial" w:cs="Arial"/>
        </w:rPr>
      </w:r>
      <w:r w:rsidRPr="00D26A08">
        <w:rPr>
          <w:rFonts w:ascii="Arial" w:hAnsi="Arial" w:cs="Arial"/>
        </w:rPr>
        <w:fldChar w:fldCharType="separate"/>
      </w:r>
      <w:r w:rsidR="004B737B" w:rsidRPr="004B737B">
        <w:rPr>
          <w:rFonts w:ascii="Arial" w:hAnsi="Arial" w:cs="Arial"/>
        </w:rPr>
        <w:t>Figure 2</w:t>
      </w:r>
      <w:r w:rsidRPr="00D26A08">
        <w:rPr>
          <w:rFonts w:ascii="Arial" w:hAnsi="Arial" w:cs="Arial"/>
        </w:rPr>
        <w:fldChar w:fldCharType="end"/>
      </w:r>
      <w:r w:rsidRPr="00D26A08">
        <w:rPr>
          <w:rFonts w:ascii="Arial" w:hAnsi="Arial" w:cs="Arial"/>
        </w:rPr>
        <w:t xml:space="preserve"> where the propagation delay prediction error versus time is plotted for, respectively, in-track, radial and cross-track ephemeris errors w</w:t>
      </w:r>
      <w:r w:rsidRPr="00F321DD">
        <w:rPr>
          <w:rFonts w:ascii="Arial" w:hAnsi="Arial" w:cs="Arial"/>
        </w:rPr>
        <w:t>ith a magnitude of 4 km for a satellite passing UE zenith at time t = 0. A radial error (red curve), pointing towards Earth, will have its maximum impact at t = 0, i.e., when it is directed towards the UE. An in-track error, on the other hand, will have largest impact when the satellite is close to the horizon at t = ±400 s. A cross-track error does not have noticeable impact in this case since the error is orthogonal to the satellite-UE direction. In a scenario where the satellite passes the UE at a low elevation angle, a cross-track error would have larger impact.</w:t>
      </w:r>
    </w:p>
    <w:p w14:paraId="20874805" w14:textId="0678038A" w:rsidR="00282C71" w:rsidRPr="00D26A08" w:rsidRDefault="00282C71" w:rsidP="00282C71">
      <w:pPr>
        <w:jc w:val="both"/>
        <w:rPr>
          <w:rFonts w:ascii="Arial" w:hAnsi="Arial" w:cs="Arial"/>
        </w:rPr>
      </w:pPr>
      <w:r w:rsidRPr="00F321DD">
        <w:rPr>
          <w:rFonts w:ascii="Arial" w:hAnsi="Arial" w:cs="Arial"/>
        </w:rPr>
        <w:t xml:space="preserve">In summary, the worst-case propagation delay prediction error will be directly proportional to the magnitude of the ephemeris error, as shown in </w:t>
      </w:r>
      <w:r w:rsidRPr="00D26A08">
        <w:rPr>
          <w:rFonts w:ascii="Arial" w:hAnsi="Arial" w:cs="Arial"/>
        </w:rPr>
        <w:fldChar w:fldCharType="begin"/>
      </w:r>
      <w:r w:rsidRPr="00F321DD">
        <w:rPr>
          <w:rFonts w:ascii="Arial" w:hAnsi="Arial" w:cs="Arial"/>
        </w:rPr>
        <w:instrText xml:space="preserve"> REF _Ref31020173 \h  \* MERGEFORMAT </w:instrText>
      </w:r>
      <w:r w:rsidRPr="00D26A08">
        <w:rPr>
          <w:rFonts w:ascii="Arial" w:hAnsi="Arial" w:cs="Arial"/>
        </w:rPr>
      </w:r>
      <w:r w:rsidRPr="00D26A08">
        <w:rPr>
          <w:rFonts w:ascii="Arial" w:hAnsi="Arial" w:cs="Arial"/>
        </w:rPr>
        <w:fldChar w:fldCharType="separate"/>
      </w:r>
      <w:r w:rsidR="004B737B" w:rsidRPr="004B737B">
        <w:rPr>
          <w:rFonts w:ascii="Arial" w:hAnsi="Arial" w:cs="Arial"/>
        </w:rPr>
        <w:t>Figure 3</w:t>
      </w:r>
      <w:r w:rsidRPr="00D26A08">
        <w:rPr>
          <w:rFonts w:ascii="Arial" w:hAnsi="Arial" w:cs="Arial"/>
        </w:rPr>
        <w:fldChar w:fldCharType="end"/>
      </w:r>
      <w:r w:rsidRPr="00D26A08">
        <w:rPr>
          <w:rFonts w:ascii="Arial" w:hAnsi="Arial" w:cs="Arial"/>
        </w:rPr>
        <w:t xml:space="preserve"> for the radial error case.</w:t>
      </w:r>
    </w:p>
    <w:p w14:paraId="00E2B0BA" w14:textId="77777777" w:rsidR="00282C71" w:rsidRPr="00D26A08" w:rsidRDefault="00282C71" w:rsidP="00282C71">
      <w:pPr>
        <w:keepNext/>
        <w:jc w:val="center"/>
        <w:rPr>
          <w:lang w:eastAsia="ja-JP"/>
        </w:rPr>
      </w:pPr>
      <w:r w:rsidRPr="00D26A08">
        <w:rPr>
          <w:noProof/>
        </w:rPr>
        <w:lastRenderedPageBreak/>
        <w:drawing>
          <wp:inline distT="0" distB="0" distL="0" distR="0" wp14:anchorId="17DF812D" wp14:editId="43605039">
            <wp:extent cx="3817257" cy="2862943"/>
            <wp:effectExtent l="0" t="0" r="0" b="0"/>
            <wp:docPr id="13314842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824842" cy="2868632"/>
                    </a:xfrm>
                    <a:prstGeom prst="rect">
                      <a:avLst/>
                    </a:prstGeom>
                  </pic:spPr>
                </pic:pic>
              </a:graphicData>
            </a:graphic>
          </wp:inline>
        </w:drawing>
      </w:r>
    </w:p>
    <w:p w14:paraId="5B06267D" w14:textId="09261856" w:rsidR="00282C71" w:rsidRPr="00F321DD" w:rsidRDefault="00282C71" w:rsidP="00B47C49">
      <w:pPr>
        <w:pStyle w:val="Caption"/>
        <w:jc w:val="center"/>
        <w:rPr>
          <w:rFonts w:ascii="Arial" w:hAnsi="Arial" w:cs="Arial"/>
          <w:sz w:val="20"/>
          <w:szCs w:val="20"/>
          <w:lang w:eastAsia="en-US"/>
        </w:rPr>
      </w:pPr>
      <w:bookmarkStart w:id="45" w:name="_Ref31018592"/>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2</w:t>
      </w:r>
      <w:r w:rsidRPr="00D26A08">
        <w:rPr>
          <w:rFonts w:ascii="Arial" w:hAnsi="Arial" w:cs="Arial"/>
          <w:sz w:val="20"/>
          <w:szCs w:val="20"/>
        </w:rPr>
        <w:fldChar w:fldCharType="end"/>
      </w:r>
      <w:bookmarkEnd w:id="45"/>
      <w:r w:rsidRPr="00D26A08">
        <w:rPr>
          <w:rFonts w:ascii="Arial" w:hAnsi="Arial" w:cs="Arial"/>
          <w:sz w:val="20"/>
          <w:szCs w:val="20"/>
        </w:rPr>
        <w:t>: One-way propagation delay prediction error vs</w:t>
      </w:r>
      <w:r w:rsidR="00256377" w:rsidRPr="00D26A08">
        <w:rPr>
          <w:rFonts w:ascii="Arial" w:hAnsi="Arial" w:cs="Arial"/>
          <w:sz w:val="20"/>
          <w:szCs w:val="20"/>
        </w:rPr>
        <w:t>.</w:t>
      </w:r>
      <w:r w:rsidRPr="00D26A08">
        <w:rPr>
          <w:rFonts w:ascii="Arial" w:hAnsi="Arial" w:cs="Arial"/>
          <w:sz w:val="20"/>
          <w:szCs w:val="20"/>
        </w:rPr>
        <w:t xml:space="preserve"> time with different satellite position errors.</w:t>
      </w:r>
    </w:p>
    <w:p w14:paraId="15FF8190" w14:textId="77777777" w:rsidR="00282C71" w:rsidRPr="00D26A08" w:rsidRDefault="00282C71" w:rsidP="00282C71">
      <w:pPr>
        <w:keepNext/>
        <w:jc w:val="center"/>
        <w:rPr>
          <w:rFonts w:ascii="Arial" w:hAnsi="Arial" w:cs="Arial"/>
          <w:sz w:val="20"/>
          <w:szCs w:val="20"/>
          <w:lang w:eastAsia="ja-JP"/>
        </w:rPr>
      </w:pPr>
      <w:r w:rsidRPr="00D26A08">
        <w:rPr>
          <w:noProof/>
        </w:rPr>
        <w:drawing>
          <wp:inline distT="0" distB="0" distL="0" distR="0" wp14:anchorId="5285544A" wp14:editId="386CC213">
            <wp:extent cx="3889828" cy="2917371"/>
            <wp:effectExtent l="0" t="0" r="0" b="0"/>
            <wp:docPr id="19592308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3896060" cy="2922045"/>
                    </a:xfrm>
                    <a:prstGeom prst="rect">
                      <a:avLst/>
                    </a:prstGeom>
                  </pic:spPr>
                </pic:pic>
              </a:graphicData>
            </a:graphic>
          </wp:inline>
        </w:drawing>
      </w:r>
    </w:p>
    <w:p w14:paraId="32A09AF6" w14:textId="00E7C2E3" w:rsidR="00282C71" w:rsidRPr="00F321DD" w:rsidRDefault="00282C71" w:rsidP="00282C71">
      <w:pPr>
        <w:pStyle w:val="Caption"/>
        <w:jc w:val="center"/>
        <w:rPr>
          <w:lang w:eastAsia="en-US"/>
        </w:rPr>
      </w:pPr>
      <w:bookmarkStart w:id="46" w:name="_Ref31020173"/>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3</w:t>
      </w:r>
      <w:r w:rsidRPr="00D26A08">
        <w:rPr>
          <w:rFonts w:ascii="Arial" w:hAnsi="Arial" w:cs="Arial"/>
          <w:sz w:val="20"/>
          <w:szCs w:val="20"/>
        </w:rPr>
        <w:fldChar w:fldCharType="end"/>
      </w:r>
      <w:bookmarkEnd w:id="46"/>
      <w:r w:rsidRPr="00D26A08">
        <w:rPr>
          <w:rFonts w:ascii="Arial" w:hAnsi="Arial" w:cs="Arial"/>
          <w:sz w:val="20"/>
          <w:szCs w:val="20"/>
        </w:rPr>
        <w:t>: Maximum one-way propagation delay prediction error vs</w:t>
      </w:r>
      <w:r w:rsidR="00256377" w:rsidRPr="00D26A08">
        <w:rPr>
          <w:rFonts w:ascii="Arial" w:hAnsi="Arial" w:cs="Arial"/>
          <w:sz w:val="20"/>
          <w:szCs w:val="20"/>
        </w:rPr>
        <w:t>.</w:t>
      </w:r>
      <w:r w:rsidRPr="00D26A08">
        <w:rPr>
          <w:rFonts w:ascii="Arial" w:hAnsi="Arial" w:cs="Arial"/>
          <w:sz w:val="20"/>
          <w:szCs w:val="20"/>
        </w:rPr>
        <w:t xml:space="preserve"> (radial) satellite position error </w:t>
      </w:r>
      <w:r w:rsidRPr="00F321DD">
        <w:t>magnitude.</w:t>
      </w:r>
    </w:p>
    <w:p w14:paraId="5665B0EC" w14:textId="27AA427D" w:rsidR="00282C71" w:rsidRPr="00DF0849" w:rsidRDefault="00256377" w:rsidP="00256377">
      <w:pPr>
        <w:pStyle w:val="Heading3"/>
        <w:rPr>
          <w:lang w:val="en-US"/>
        </w:rPr>
      </w:pPr>
      <w:r w:rsidRPr="00DF0849">
        <w:rPr>
          <w:lang w:val="en-US"/>
        </w:rPr>
        <w:t>A2.2</w:t>
      </w:r>
      <w:r w:rsidRPr="00DF0849">
        <w:rPr>
          <w:lang w:val="en-US"/>
        </w:rPr>
        <w:tab/>
        <w:t xml:space="preserve">Impact of ephemeris inaccuracy on </w:t>
      </w:r>
      <w:r w:rsidR="00282C71" w:rsidRPr="00DF0849">
        <w:rPr>
          <w:lang w:val="en-US"/>
        </w:rPr>
        <w:t>Doppler shift</w:t>
      </w:r>
    </w:p>
    <w:p w14:paraId="16413A9C" w14:textId="350EA95A" w:rsidR="00282C71" w:rsidRPr="00D26A08" w:rsidRDefault="00282C71" w:rsidP="00282C71">
      <w:pPr>
        <w:jc w:val="both"/>
        <w:rPr>
          <w:rFonts w:ascii="Arial" w:hAnsi="Arial" w:cs="Arial"/>
        </w:rPr>
      </w:pPr>
      <w:r w:rsidRPr="00D26A08">
        <w:rPr>
          <w:rFonts w:ascii="Arial" w:hAnsi="Arial" w:cs="Arial"/>
        </w:rPr>
        <w:t>The Doppler shift is determined by the derivative of the distance between the satellite and the UE</w:t>
      </w:r>
      <w:r w:rsidR="00256377" w:rsidRPr="00D26A08">
        <w:rPr>
          <w:rFonts w:ascii="Arial" w:hAnsi="Arial" w:cs="Arial"/>
        </w:rPr>
        <w:t xml:space="preserve"> with respect to time</w:t>
      </w:r>
      <w:r w:rsidRPr="00D26A08">
        <w:rPr>
          <w:rFonts w:ascii="Arial" w:hAnsi="Arial" w:cs="Arial"/>
        </w:rPr>
        <w:t xml:space="preserve">, i.e., their relative speed. In </w:t>
      </w:r>
      <w:r w:rsidRPr="00D26A08">
        <w:rPr>
          <w:rFonts w:ascii="Arial" w:hAnsi="Arial" w:cs="Arial"/>
        </w:rPr>
        <w:fldChar w:fldCharType="begin"/>
      </w:r>
      <w:r w:rsidRPr="00F321DD">
        <w:rPr>
          <w:rFonts w:ascii="Arial" w:hAnsi="Arial" w:cs="Arial"/>
        </w:rPr>
        <w:instrText xml:space="preserve"> REF _Ref31022107 \h  \* MERGEFORMAT </w:instrText>
      </w:r>
      <w:r w:rsidRPr="00D26A08">
        <w:rPr>
          <w:rFonts w:ascii="Arial" w:hAnsi="Arial" w:cs="Arial"/>
        </w:rPr>
      </w:r>
      <w:r w:rsidRPr="00D26A08">
        <w:rPr>
          <w:rFonts w:ascii="Arial" w:hAnsi="Arial" w:cs="Arial"/>
        </w:rPr>
        <w:fldChar w:fldCharType="separate"/>
      </w:r>
      <w:r w:rsidR="004B737B" w:rsidRPr="004B737B">
        <w:rPr>
          <w:rFonts w:ascii="Arial" w:hAnsi="Arial" w:cs="Arial"/>
        </w:rPr>
        <w:t>Figure 4</w:t>
      </w:r>
      <w:r w:rsidRPr="00D26A08">
        <w:rPr>
          <w:rFonts w:ascii="Arial" w:hAnsi="Arial" w:cs="Arial"/>
        </w:rPr>
        <w:fldChar w:fldCharType="end"/>
      </w:r>
      <w:r w:rsidRPr="00D26A08">
        <w:rPr>
          <w:rFonts w:ascii="Arial" w:hAnsi="Arial" w:cs="Arial"/>
        </w:rPr>
        <w:t xml:space="preserve"> the Doppler shift prediction error versus time is plotted for, respectively, in-track, radial and cross-track ephemeris errors with a magnitude of 4 km and a carrier frequency of 2 GHz. An in-track er</w:t>
      </w:r>
      <w:r w:rsidRPr="00F321DD">
        <w:rPr>
          <w:rFonts w:ascii="Arial" w:hAnsi="Arial" w:cs="Arial"/>
        </w:rPr>
        <w:t xml:space="preserve">ror is seen to have largest impact on the Doppler shift prediction. The maximum Doppler shift prediction error will be directly proportional to the magnitude of the ephemeris error magnitude, as shown in </w:t>
      </w:r>
      <w:r w:rsidRPr="00D26A08">
        <w:rPr>
          <w:rFonts w:ascii="Arial" w:hAnsi="Arial" w:cs="Arial"/>
        </w:rPr>
        <w:fldChar w:fldCharType="begin"/>
      </w:r>
      <w:r w:rsidRPr="00F321DD">
        <w:rPr>
          <w:rFonts w:ascii="Arial" w:hAnsi="Arial" w:cs="Arial"/>
        </w:rPr>
        <w:instrText xml:space="preserve"> REF _Ref31023216 \h  \* MERGEFORMAT </w:instrText>
      </w:r>
      <w:r w:rsidRPr="00D26A08">
        <w:rPr>
          <w:rFonts w:ascii="Arial" w:hAnsi="Arial" w:cs="Arial"/>
        </w:rPr>
      </w:r>
      <w:r w:rsidRPr="00D26A08">
        <w:rPr>
          <w:rFonts w:ascii="Arial" w:hAnsi="Arial" w:cs="Arial"/>
        </w:rPr>
        <w:fldChar w:fldCharType="separate"/>
      </w:r>
      <w:r w:rsidR="004B737B" w:rsidRPr="004B737B">
        <w:rPr>
          <w:rFonts w:ascii="Arial" w:hAnsi="Arial" w:cs="Arial"/>
        </w:rPr>
        <w:t>Figure 5</w:t>
      </w:r>
      <w:r w:rsidRPr="00D26A08">
        <w:rPr>
          <w:rFonts w:ascii="Arial" w:hAnsi="Arial" w:cs="Arial"/>
        </w:rPr>
        <w:fldChar w:fldCharType="end"/>
      </w:r>
      <w:r w:rsidRPr="00D26A08">
        <w:rPr>
          <w:rFonts w:ascii="Arial" w:hAnsi="Arial" w:cs="Arial"/>
        </w:rPr>
        <w:t xml:space="preserve">. </w:t>
      </w:r>
    </w:p>
    <w:p w14:paraId="5F722339" w14:textId="77777777" w:rsidR="00282C71" w:rsidRPr="00D26A08" w:rsidRDefault="00282C71" w:rsidP="00282C71">
      <w:pPr>
        <w:pStyle w:val="Caption"/>
        <w:keepNext/>
        <w:jc w:val="center"/>
      </w:pPr>
      <w:r w:rsidRPr="00D26A08">
        <w:rPr>
          <w:noProof/>
        </w:rPr>
        <w:lastRenderedPageBreak/>
        <w:drawing>
          <wp:inline distT="0" distB="0" distL="0" distR="0" wp14:anchorId="69978790" wp14:editId="23B96D8E">
            <wp:extent cx="3439885" cy="2579914"/>
            <wp:effectExtent l="0" t="0" r="8255" b="0"/>
            <wp:docPr id="15658834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52128" cy="2589096"/>
                    </a:xfrm>
                    <a:prstGeom prst="rect">
                      <a:avLst/>
                    </a:prstGeom>
                  </pic:spPr>
                </pic:pic>
              </a:graphicData>
            </a:graphic>
          </wp:inline>
        </w:drawing>
      </w:r>
    </w:p>
    <w:p w14:paraId="38BE3685" w14:textId="2D6DC41F" w:rsidR="00282C71" w:rsidRPr="00F321DD" w:rsidRDefault="00282C71" w:rsidP="00282C71">
      <w:pPr>
        <w:pStyle w:val="Caption"/>
        <w:jc w:val="center"/>
        <w:rPr>
          <w:rFonts w:ascii="Arial" w:hAnsi="Arial" w:cs="Arial"/>
          <w:sz w:val="20"/>
          <w:szCs w:val="20"/>
          <w:lang w:eastAsia="en-US"/>
        </w:rPr>
      </w:pPr>
      <w:bookmarkStart w:id="47" w:name="_Ref31022107"/>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4</w:t>
      </w:r>
      <w:r w:rsidRPr="00D26A08">
        <w:rPr>
          <w:rFonts w:ascii="Arial" w:hAnsi="Arial" w:cs="Arial"/>
          <w:sz w:val="20"/>
          <w:szCs w:val="20"/>
        </w:rPr>
        <w:fldChar w:fldCharType="end"/>
      </w:r>
      <w:bookmarkEnd w:id="47"/>
      <w:r w:rsidRPr="00D26A08">
        <w:rPr>
          <w:rFonts w:ascii="Arial" w:hAnsi="Arial" w:cs="Arial"/>
          <w:sz w:val="20"/>
          <w:szCs w:val="20"/>
        </w:rPr>
        <w:t>: Doppler shift prediction error vs</w:t>
      </w:r>
      <w:r w:rsidR="00256377" w:rsidRPr="00D26A08">
        <w:rPr>
          <w:rFonts w:ascii="Arial" w:hAnsi="Arial" w:cs="Arial"/>
          <w:sz w:val="20"/>
          <w:szCs w:val="20"/>
        </w:rPr>
        <w:t>.</w:t>
      </w:r>
      <w:r w:rsidRPr="00D26A08">
        <w:rPr>
          <w:rFonts w:ascii="Arial" w:hAnsi="Arial" w:cs="Arial"/>
          <w:sz w:val="20"/>
          <w:szCs w:val="20"/>
        </w:rPr>
        <w:t xml:space="preserve"> time with different satellite position errors.</w:t>
      </w:r>
    </w:p>
    <w:p w14:paraId="743E6CF9" w14:textId="77777777" w:rsidR="00282C71" w:rsidRPr="00D26A08" w:rsidRDefault="00282C71" w:rsidP="00282C71">
      <w:pPr>
        <w:keepNext/>
        <w:jc w:val="center"/>
      </w:pPr>
      <w:r w:rsidRPr="00D26A08">
        <w:rPr>
          <w:noProof/>
        </w:rPr>
        <w:drawing>
          <wp:inline distT="0" distB="0" distL="0" distR="0" wp14:anchorId="147548DB" wp14:editId="004664C0">
            <wp:extent cx="3494314" cy="2620735"/>
            <wp:effectExtent l="0" t="0" r="0" b="8255"/>
            <wp:docPr id="148569889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11827" cy="2633870"/>
                    </a:xfrm>
                    <a:prstGeom prst="rect">
                      <a:avLst/>
                    </a:prstGeom>
                  </pic:spPr>
                </pic:pic>
              </a:graphicData>
            </a:graphic>
          </wp:inline>
        </w:drawing>
      </w:r>
    </w:p>
    <w:p w14:paraId="19E77270" w14:textId="33D54745" w:rsidR="00282C71" w:rsidRPr="00F321DD" w:rsidRDefault="00282C71" w:rsidP="00282C71">
      <w:pPr>
        <w:pStyle w:val="Caption"/>
        <w:jc w:val="center"/>
        <w:rPr>
          <w:rFonts w:ascii="Arial" w:hAnsi="Arial" w:cs="Arial"/>
          <w:sz w:val="20"/>
          <w:szCs w:val="20"/>
          <w:lang w:eastAsia="en-US"/>
        </w:rPr>
      </w:pPr>
      <w:bookmarkStart w:id="48" w:name="_Ref31023216"/>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5</w:t>
      </w:r>
      <w:r w:rsidRPr="00D26A08">
        <w:rPr>
          <w:rFonts w:ascii="Arial" w:hAnsi="Arial" w:cs="Arial"/>
          <w:sz w:val="20"/>
          <w:szCs w:val="20"/>
        </w:rPr>
        <w:fldChar w:fldCharType="end"/>
      </w:r>
      <w:bookmarkEnd w:id="48"/>
      <w:r w:rsidRPr="00D26A08">
        <w:rPr>
          <w:rFonts w:ascii="Arial" w:hAnsi="Arial" w:cs="Arial"/>
          <w:sz w:val="20"/>
          <w:szCs w:val="20"/>
        </w:rPr>
        <w:t>: Maximum Doppler shift prediction error vs</w:t>
      </w:r>
      <w:r w:rsidR="00256377" w:rsidRPr="00D26A08">
        <w:rPr>
          <w:rFonts w:ascii="Arial" w:hAnsi="Arial" w:cs="Arial"/>
          <w:sz w:val="20"/>
          <w:szCs w:val="20"/>
        </w:rPr>
        <w:t>.</w:t>
      </w:r>
      <w:r w:rsidRPr="00F321DD">
        <w:rPr>
          <w:rFonts w:ascii="Arial" w:hAnsi="Arial" w:cs="Arial"/>
          <w:sz w:val="20"/>
          <w:szCs w:val="20"/>
        </w:rPr>
        <w:t xml:space="preserve"> (in-track) satellite position error magnitude.</w:t>
      </w:r>
    </w:p>
    <w:p w14:paraId="5F1DEE67" w14:textId="4CA78DC4" w:rsidR="00282C71" w:rsidRPr="00DF0849" w:rsidRDefault="00282C71" w:rsidP="00282C71">
      <w:pPr>
        <w:pStyle w:val="Heading2"/>
        <w:rPr>
          <w:lang w:val="en-US"/>
        </w:rPr>
      </w:pPr>
      <w:r w:rsidRPr="00DF0849">
        <w:rPr>
          <w:lang w:val="en-US"/>
        </w:rPr>
        <w:t>A3</w:t>
      </w:r>
      <w:r w:rsidRPr="00DF0849">
        <w:rPr>
          <w:lang w:val="en-US"/>
        </w:rPr>
        <w:tab/>
        <w:t>UE position</w:t>
      </w:r>
      <w:r w:rsidRPr="00F321DD">
        <w:rPr>
          <w:lang w:val="en-US"/>
        </w:rPr>
        <w:t xml:space="preserve"> </w:t>
      </w:r>
      <w:r w:rsidRPr="00725041">
        <w:rPr>
          <w:lang w:val="en-US"/>
        </w:rPr>
        <w:t>inaccuracy</w:t>
      </w:r>
    </w:p>
    <w:p w14:paraId="1A4FDCB5" w14:textId="77777777" w:rsidR="00282C71" w:rsidRPr="00F321DD" w:rsidRDefault="00282C71" w:rsidP="00282C71">
      <w:pPr>
        <w:jc w:val="both"/>
        <w:rPr>
          <w:rFonts w:ascii="Arial" w:hAnsi="Arial" w:cs="Arial"/>
        </w:rPr>
      </w:pPr>
      <w:r w:rsidRPr="00D26A08">
        <w:rPr>
          <w:rFonts w:ascii="Arial" w:hAnsi="Arial" w:cs="Arial"/>
        </w:rPr>
        <w:t>In the simulations where UE position inaccuracy is investigated, the UE velocity is assumed to be 1000 km/h in the opposite direction as the satellite. The UE pos</w:t>
      </w:r>
      <w:r w:rsidRPr="00F321DD">
        <w:rPr>
          <w:rFonts w:ascii="Arial" w:hAnsi="Arial" w:cs="Arial"/>
        </w:rPr>
        <w:t xml:space="preserve">ition data is assumed to have been correct </w:t>
      </w:r>
      <m:oMath>
        <m:r>
          <w:rPr>
            <w:rFonts w:ascii="Cambria Math" w:hAnsi="Cambria Math" w:cs="Arial"/>
          </w:rPr>
          <m:t>n</m:t>
        </m:r>
      </m:oMath>
      <w:r w:rsidRPr="00F321DD">
        <w:rPr>
          <w:rFonts w:ascii="Arial" w:hAnsi="Arial" w:cs="Arial"/>
        </w:rPr>
        <w:t xml:space="preserve"> seconds ago, where </w:t>
      </w:r>
      <m:oMath>
        <m:r>
          <w:rPr>
            <w:rFonts w:ascii="Cambria Math" w:hAnsi="Cambria Math" w:cs="Arial"/>
          </w:rPr>
          <m:t>n</m:t>
        </m:r>
      </m:oMath>
      <w:r w:rsidRPr="00F321DD">
        <w:rPr>
          <w:rFonts w:ascii="Arial" w:hAnsi="Arial" w:cs="Arial"/>
        </w:rPr>
        <w:t xml:space="preserve"> ranges from 0 to 60 seconds. The intention is to model e.g. that GNSS position data is acquired in </w:t>
      </w:r>
      <w:r w:rsidRPr="00F321DD" w:rsidDel="00826153">
        <w:rPr>
          <w:rFonts w:ascii="Arial" w:hAnsi="Arial" w:cs="Arial"/>
        </w:rPr>
        <w:t>RRC</w:t>
      </w:r>
      <w:r w:rsidRPr="00F321DD">
        <w:rPr>
          <w:rFonts w:ascii="Arial" w:hAnsi="Arial" w:cs="Arial"/>
        </w:rPr>
        <w:t xml:space="preserve"> idle, or RRC inactive mode and used subsequently in </w:t>
      </w:r>
      <w:r w:rsidRPr="00F321DD" w:rsidDel="00826153">
        <w:rPr>
          <w:rFonts w:ascii="Arial" w:hAnsi="Arial" w:cs="Arial"/>
        </w:rPr>
        <w:t>RRC</w:t>
      </w:r>
      <w:r w:rsidRPr="00F321DD">
        <w:rPr>
          <w:rFonts w:ascii="Arial" w:hAnsi="Arial" w:cs="Arial"/>
        </w:rPr>
        <w:t xml:space="preserve"> connected to calculate the propagation delay and Doppler shift offset.</w:t>
      </w:r>
    </w:p>
    <w:p w14:paraId="04D2C5D4" w14:textId="77777777" w:rsidR="00282C71" w:rsidRPr="00F321DD" w:rsidRDefault="00282C71" w:rsidP="00282C71">
      <w:pPr>
        <w:jc w:val="both"/>
        <w:rPr>
          <w:rFonts w:ascii="Arial" w:hAnsi="Arial" w:cs="Arial"/>
        </w:rPr>
      </w:pPr>
      <w:r w:rsidRPr="00F321DD">
        <w:rPr>
          <w:rFonts w:ascii="Arial" w:hAnsi="Arial" w:cs="Arial"/>
        </w:rPr>
        <w:t>The satellite ephemeris data is assumed to be correct in these simulations.</w:t>
      </w:r>
    </w:p>
    <w:p w14:paraId="72B4A793" w14:textId="1CAD1A44" w:rsidR="00282C71" w:rsidRPr="00DF0849" w:rsidRDefault="00282C71" w:rsidP="00256377">
      <w:pPr>
        <w:pStyle w:val="Heading3"/>
        <w:rPr>
          <w:lang w:val="en-US"/>
        </w:rPr>
      </w:pPr>
      <w:r w:rsidRPr="00DF0849">
        <w:rPr>
          <w:lang w:val="en-US"/>
        </w:rPr>
        <w:t>A</w:t>
      </w:r>
      <w:r w:rsidR="00256377" w:rsidRPr="00DF0849">
        <w:rPr>
          <w:lang w:val="en-US"/>
        </w:rPr>
        <w:t>3.1</w:t>
      </w:r>
      <w:r w:rsidRPr="00DF0849">
        <w:rPr>
          <w:lang w:val="en-US"/>
        </w:rPr>
        <w:tab/>
        <w:t>Impact of aged UE position</w:t>
      </w:r>
      <w:r w:rsidR="00256377" w:rsidRPr="00DF0849">
        <w:rPr>
          <w:lang w:val="en-US"/>
        </w:rPr>
        <w:t xml:space="preserve"> on p</w:t>
      </w:r>
      <w:r w:rsidRPr="00DF0849">
        <w:rPr>
          <w:lang w:val="en-US"/>
        </w:rPr>
        <w:t>ropagation delay</w:t>
      </w:r>
    </w:p>
    <w:p w14:paraId="178DA199" w14:textId="4CBDAF74" w:rsidR="00282C71" w:rsidRPr="00F321DD" w:rsidRDefault="00282C71" w:rsidP="00282C71">
      <w:pPr>
        <w:jc w:val="both"/>
        <w:rPr>
          <w:rFonts w:ascii="Arial" w:hAnsi="Arial" w:cs="Arial"/>
          <w:lang w:eastAsia="ja-JP"/>
        </w:rPr>
      </w:pPr>
      <w:r w:rsidRPr="00D26A08">
        <w:rPr>
          <w:rFonts w:ascii="Arial" w:hAnsi="Arial" w:cs="Arial"/>
          <w:lang w:eastAsia="ja-JP"/>
        </w:rPr>
        <w:t xml:space="preserve">The UE position error has largest impact on the propagation delay estimation when the satellite is near the horizon since the position error vector is then directed more towards (or away from) the satellite (recall that the UE is moving at 1000 km/h in the opposite direction as the satellite). </w:t>
      </w:r>
      <w:r w:rsidRPr="00D26A08">
        <w:rPr>
          <w:rFonts w:ascii="Arial" w:hAnsi="Arial" w:cs="Arial"/>
          <w:lang w:eastAsia="ja-JP"/>
        </w:rPr>
        <w:fldChar w:fldCharType="begin"/>
      </w:r>
      <w:r w:rsidRPr="00F321DD">
        <w:rPr>
          <w:rFonts w:ascii="Arial" w:hAnsi="Arial" w:cs="Arial"/>
          <w:lang w:eastAsia="ja-JP"/>
        </w:rPr>
        <w:instrText xml:space="preserve"> REF _Ref31381482 \h  \* MERGEFORMAT </w:instrText>
      </w:r>
      <w:r w:rsidRPr="00D26A08">
        <w:rPr>
          <w:rFonts w:ascii="Arial" w:hAnsi="Arial" w:cs="Arial"/>
          <w:lang w:eastAsia="ja-JP"/>
        </w:rPr>
      </w:r>
      <w:r w:rsidRPr="00D26A08">
        <w:rPr>
          <w:rFonts w:ascii="Arial" w:hAnsi="Arial" w:cs="Arial"/>
          <w:lang w:eastAsia="ja-JP"/>
        </w:rPr>
        <w:fldChar w:fldCharType="separate"/>
      </w:r>
      <w:r w:rsidR="004B737B" w:rsidRPr="004B737B">
        <w:rPr>
          <w:rFonts w:ascii="Arial" w:hAnsi="Arial" w:cs="Arial"/>
        </w:rPr>
        <w:t>Figure 6</w:t>
      </w:r>
      <w:r w:rsidRPr="00D26A08">
        <w:rPr>
          <w:rFonts w:ascii="Arial" w:hAnsi="Arial" w:cs="Arial"/>
          <w:lang w:eastAsia="ja-JP"/>
        </w:rPr>
        <w:fldChar w:fldCharType="end"/>
      </w:r>
      <w:r w:rsidRPr="00D26A08">
        <w:rPr>
          <w:rFonts w:ascii="Arial" w:hAnsi="Arial" w:cs="Arial"/>
          <w:lang w:eastAsia="ja-JP"/>
        </w:rPr>
        <w:t xml:space="preserve"> shows how the maximum propagation delay prediction error depends on the age of the UE position estimate.</w:t>
      </w:r>
      <w:r w:rsidRPr="00F321DD">
        <w:rPr>
          <w:rFonts w:ascii="Arial" w:hAnsi="Arial" w:cs="Arial"/>
          <w:lang w:eastAsia="ja-JP"/>
        </w:rPr>
        <w:t xml:space="preserve"> As expected, the error is proportional to the UE position age.</w:t>
      </w:r>
    </w:p>
    <w:p w14:paraId="2F7D3357" w14:textId="77777777" w:rsidR="00282C71" w:rsidRPr="00D26A08" w:rsidRDefault="00282C71" w:rsidP="00282C71">
      <w:pPr>
        <w:keepNext/>
        <w:jc w:val="center"/>
        <w:rPr>
          <w:rFonts w:ascii="Arial" w:hAnsi="Arial" w:cs="Arial"/>
          <w:sz w:val="20"/>
          <w:szCs w:val="20"/>
          <w:lang w:eastAsia="ja-JP"/>
        </w:rPr>
      </w:pPr>
      <w:r w:rsidRPr="00D26A08">
        <w:rPr>
          <w:noProof/>
        </w:rPr>
        <w:lastRenderedPageBreak/>
        <w:drawing>
          <wp:inline distT="0" distB="0" distL="0" distR="0" wp14:anchorId="1EC053D6" wp14:editId="1773D786">
            <wp:extent cx="3439885" cy="2579914"/>
            <wp:effectExtent l="0" t="0" r="8255" b="0"/>
            <wp:docPr id="1515202723" name="Picture 2" descr="A close up of a ma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57227" cy="2592921"/>
                    </a:xfrm>
                    <a:prstGeom prst="rect">
                      <a:avLst/>
                    </a:prstGeom>
                  </pic:spPr>
                </pic:pic>
              </a:graphicData>
            </a:graphic>
          </wp:inline>
        </w:drawing>
      </w:r>
    </w:p>
    <w:p w14:paraId="71275264" w14:textId="4796A059" w:rsidR="00282C71" w:rsidRPr="00F321DD" w:rsidRDefault="00282C71" w:rsidP="00282C71">
      <w:pPr>
        <w:pStyle w:val="Caption"/>
        <w:jc w:val="center"/>
        <w:rPr>
          <w:rFonts w:ascii="Arial" w:hAnsi="Arial" w:cs="Arial"/>
          <w:sz w:val="20"/>
          <w:szCs w:val="20"/>
          <w:lang w:eastAsia="en-US"/>
        </w:rPr>
      </w:pPr>
      <w:bookmarkStart w:id="49" w:name="_Ref31381482"/>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6</w:t>
      </w:r>
      <w:r w:rsidRPr="00D26A08">
        <w:rPr>
          <w:rFonts w:ascii="Arial" w:hAnsi="Arial" w:cs="Arial"/>
          <w:sz w:val="20"/>
          <w:szCs w:val="20"/>
        </w:rPr>
        <w:fldChar w:fldCharType="end"/>
      </w:r>
      <w:bookmarkEnd w:id="49"/>
      <w:r w:rsidRPr="00D26A08">
        <w:rPr>
          <w:rFonts w:ascii="Arial" w:hAnsi="Arial" w:cs="Arial"/>
          <w:sz w:val="20"/>
          <w:szCs w:val="20"/>
        </w:rPr>
        <w:t>: Maximum one-way propagation delay prediction error vs</w:t>
      </w:r>
      <w:r w:rsidR="00256377" w:rsidRPr="00D26A08">
        <w:rPr>
          <w:rFonts w:ascii="Arial" w:hAnsi="Arial" w:cs="Arial"/>
          <w:sz w:val="20"/>
          <w:szCs w:val="20"/>
        </w:rPr>
        <w:t>.</w:t>
      </w:r>
      <w:r w:rsidRPr="00D26A08">
        <w:rPr>
          <w:rFonts w:ascii="Arial" w:hAnsi="Arial" w:cs="Arial"/>
          <w:sz w:val="20"/>
          <w:szCs w:val="20"/>
        </w:rPr>
        <w:t xml:space="preserve"> age of UE position data.</w:t>
      </w:r>
    </w:p>
    <w:p w14:paraId="4AAD8119" w14:textId="1580FD95" w:rsidR="00256377" w:rsidRPr="00DF0849" w:rsidRDefault="00256377" w:rsidP="00256377">
      <w:pPr>
        <w:pStyle w:val="Heading3"/>
        <w:rPr>
          <w:lang w:val="en-US"/>
        </w:rPr>
      </w:pPr>
      <w:r w:rsidRPr="00DF0849">
        <w:rPr>
          <w:lang w:val="en-US"/>
        </w:rPr>
        <w:t>A3.2</w:t>
      </w:r>
      <w:r w:rsidRPr="00DF0849">
        <w:rPr>
          <w:lang w:val="en-US"/>
        </w:rPr>
        <w:tab/>
        <w:t>Impact of aged UE position on propagation delay</w:t>
      </w:r>
    </w:p>
    <w:p w14:paraId="4863AE9C" w14:textId="23661220" w:rsidR="00282C71" w:rsidRPr="00F321DD" w:rsidRDefault="00282C71" w:rsidP="00282C71">
      <w:pPr>
        <w:jc w:val="both"/>
        <w:rPr>
          <w:rFonts w:ascii="Arial" w:hAnsi="Arial" w:cs="Arial"/>
          <w:lang w:eastAsia="ja-JP"/>
        </w:rPr>
      </w:pPr>
      <w:r w:rsidRPr="00D26A08">
        <w:rPr>
          <w:rFonts w:ascii="Arial" w:hAnsi="Arial" w:cs="Arial"/>
          <w:lang w:eastAsia="ja-JP"/>
        </w:rPr>
        <w:t xml:space="preserve">The UE position error has largest impact on the Doppler shift estimation when the satellite is directly above the UE since this is when the Doppler rate is the highest. </w:t>
      </w:r>
      <w:r w:rsidRPr="00D26A08">
        <w:rPr>
          <w:rFonts w:ascii="Arial" w:hAnsi="Arial" w:cs="Arial"/>
          <w:lang w:eastAsia="ja-JP"/>
        </w:rPr>
        <w:fldChar w:fldCharType="begin"/>
      </w:r>
      <w:r w:rsidRPr="00F321DD">
        <w:rPr>
          <w:rFonts w:ascii="Arial" w:hAnsi="Arial" w:cs="Arial"/>
          <w:lang w:eastAsia="ja-JP"/>
        </w:rPr>
        <w:instrText xml:space="preserve"> REF _Ref31381693 \h  \* MERGEFORMAT </w:instrText>
      </w:r>
      <w:r w:rsidRPr="00D26A08">
        <w:rPr>
          <w:rFonts w:ascii="Arial" w:hAnsi="Arial" w:cs="Arial"/>
          <w:lang w:eastAsia="ja-JP"/>
        </w:rPr>
      </w:r>
      <w:r w:rsidRPr="00D26A08">
        <w:rPr>
          <w:rFonts w:ascii="Arial" w:hAnsi="Arial" w:cs="Arial"/>
          <w:lang w:eastAsia="ja-JP"/>
        </w:rPr>
        <w:fldChar w:fldCharType="separate"/>
      </w:r>
      <w:r w:rsidR="004B737B" w:rsidRPr="004B737B">
        <w:rPr>
          <w:rFonts w:ascii="Arial" w:hAnsi="Arial" w:cs="Arial"/>
        </w:rPr>
        <w:t>Figure 7</w:t>
      </w:r>
      <w:r w:rsidRPr="00D26A08">
        <w:rPr>
          <w:rFonts w:ascii="Arial" w:hAnsi="Arial" w:cs="Arial"/>
          <w:lang w:eastAsia="ja-JP"/>
        </w:rPr>
        <w:fldChar w:fldCharType="end"/>
      </w:r>
      <w:r w:rsidRPr="00D26A08">
        <w:rPr>
          <w:rFonts w:ascii="Arial" w:hAnsi="Arial" w:cs="Arial"/>
          <w:lang w:eastAsia="ja-JP"/>
        </w:rPr>
        <w:t xml:space="preserve"> shows how the maximum Doppler shift prediction error depends proportionally on the age of the UE position estimate </w:t>
      </w:r>
      <w:r w:rsidRPr="00F321DD">
        <w:rPr>
          <w:rFonts w:ascii="Arial" w:hAnsi="Arial" w:cs="Arial"/>
        </w:rPr>
        <w:t>assuming a carrier frequency of 2 GHz</w:t>
      </w:r>
      <w:r w:rsidRPr="00F321DD">
        <w:rPr>
          <w:rFonts w:ascii="Arial" w:hAnsi="Arial" w:cs="Arial"/>
          <w:lang w:eastAsia="ja-JP"/>
        </w:rPr>
        <w:t>.</w:t>
      </w:r>
    </w:p>
    <w:p w14:paraId="332E7036" w14:textId="77777777" w:rsidR="00282C71" w:rsidRPr="00D26A08" w:rsidRDefault="00282C71" w:rsidP="00282C71">
      <w:pPr>
        <w:keepNext/>
        <w:jc w:val="center"/>
        <w:rPr>
          <w:rFonts w:ascii="Arial" w:hAnsi="Arial" w:cs="Arial"/>
          <w:sz w:val="20"/>
          <w:szCs w:val="20"/>
          <w:lang w:eastAsia="ja-JP"/>
        </w:rPr>
      </w:pPr>
      <w:r w:rsidRPr="00D26A08">
        <w:rPr>
          <w:noProof/>
        </w:rPr>
        <w:drawing>
          <wp:inline distT="0" distB="0" distL="0" distR="0" wp14:anchorId="2F0CEFF3" wp14:editId="6F5177A1">
            <wp:extent cx="3631826" cy="2699657"/>
            <wp:effectExtent l="0" t="0" r="6985" b="5715"/>
            <wp:docPr id="949650385" name="Picture 5" descr="A close up of a ma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3654491" cy="2716505"/>
                    </a:xfrm>
                    <a:prstGeom prst="rect">
                      <a:avLst/>
                    </a:prstGeom>
                  </pic:spPr>
                </pic:pic>
              </a:graphicData>
            </a:graphic>
          </wp:inline>
        </w:drawing>
      </w:r>
    </w:p>
    <w:p w14:paraId="434D0B3E" w14:textId="3DD8EC38" w:rsidR="00282C71" w:rsidRPr="00F321DD" w:rsidRDefault="00282C71" w:rsidP="00234F19">
      <w:pPr>
        <w:pStyle w:val="Caption"/>
        <w:jc w:val="center"/>
        <w:rPr>
          <w:rFonts w:ascii="Arial" w:hAnsi="Arial" w:cs="Arial"/>
          <w:sz w:val="20"/>
          <w:szCs w:val="20"/>
          <w:lang w:eastAsia="en-US"/>
        </w:rPr>
      </w:pPr>
      <w:bookmarkStart w:id="50" w:name="_Ref31381693"/>
      <w:r w:rsidRPr="00D26A08">
        <w:rPr>
          <w:rFonts w:ascii="Arial" w:hAnsi="Arial" w:cs="Arial"/>
          <w:sz w:val="20"/>
          <w:szCs w:val="20"/>
        </w:rPr>
        <w:t xml:space="preserve">Figure </w:t>
      </w:r>
      <w:r w:rsidRPr="00D26A08">
        <w:rPr>
          <w:rFonts w:ascii="Arial" w:hAnsi="Arial" w:cs="Arial"/>
          <w:sz w:val="20"/>
          <w:szCs w:val="20"/>
        </w:rPr>
        <w:fldChar w:fldCharType="begin"/>
      </w:r>
      <w:r w:rsidRPr="00F321DD">
        <w:rPr>
          <w:rFonts w:ascii="Arial" w:hAnsi="Arial" w:cs="Arial"/>
          <w:sz w:val="20"/>
          <w:szCs w:val="20"/>
        </w:rPr>
        <w:instrText xml:space="preserve"> SEQ Figure \* ARABIC </w:instrText>
      </w:r>
      <w:r w:rsidRPr="00D26A08">
        <w:rPr>
          <w:rFonts w:ascii="Arial" w:hAnsi="Arial" w:cs="Arial"/>
          <w:sz w:val="20"/>
          <w:szCs w:val="20"/>
        </w:rPr>
        <w:fldChar w:fldCharType="separate"/>
      </w:r>
      <w:r w:rsidR="004B737B">
        <w:rPr>
          <w:rFonts w:ascii="Arial" w:hAnsi="Arial" w:cs="Arial"/>
          <w:noProof/>
          <w:sz w:val="20"/>
          <w:szCs w:val="20"/>
        </w:rPr>
        <w:t>7</w:t>
      </w:r>
      <w:r w:rsidRPr="00D26A08">
        <w:rPr>
          <w:rFonts w:ascii="Arial" w:hAnsi="Arial" w:cs="Arial"/>
          <w:sz w:val="20"/>
          <w:szCs w:val="20"/>
        </w:rPr>
        <w:fldChar w:fldCharType="end"/>
      </w:r>
      <w:bookmarkEnd w:id="50"/>
      <w:r w:rsidRPr="00D26A08">
        <w:rPr>
          <w:rFonts w:ascii="Arial" w:hAnsi="Arial" w:cs="Arial"/>
          <w:sz w:val="20"/>
          <w:szCs w:val="20"/>
        </w:rPr>
        <w:t>: Maximum Doppler shift prediction error vs</w:t>
      </w:r>
      <w:r w:rsidR="00256377" w:rsidRPr="00D26A08">
        <w:rPr>
          <w:rFonts w:ascii="Arial" w:hAnsi="Arial" w:cs="Arial"/>
          <w:sz w:val="20"/>
          <w:szCs w:val="20"/>
        </w:rPr>
        <w:t>.</w:t>
      </w:r>
      <w:r w:rsidRPr="00F321DD">
        <w:rPr>
          <w:rFonts w:ascii="Arial" w:hAnsi="Arial" w:cs="Arial"/>
          <w:sz w:val="20"/>
          <w:szCs w:val="20"/>
        </w:rPr>
        <w:t xml:space="preserve"> age of UE position data.</w:t>
      </w:r>
      <w:bookmarkEnd w:id="0"/>
    </w:p>
    <w:sectPr w:rsidR="00282C71" w:rsidRPr="00F321DD"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A1E1B" w14:textId="77777777" w:rsidR="004C73F9" w:rsidRDefault="004C73F9">
      <w:r>
        <w:separator/>
      </w:r>
    </w:p>
  </w:endnote>
  <w:endnote w:type="continuationSeparator" w:id="0">
    <w:p w14:paraId="3C140F9C" w14:textId="77777777" w:rsidR="004C73F9" w:rsidRDefault="004C73F9">
      <w:r>
        <w:continuationSeparator/>
      </w:r>
    </w:p>
  </w:endnote>
  <w:endnote w:type="continuationNotice" w:id="1">
    <w:p w14:paraId="054ABA29" w14:textId="77777777" w:rsidR="004C73F9" w:rsidRDefault="004C73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282C71" w:rsidRDefault="00282C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C37EF" w14:textId="77777777" w:rsidR="004C73F9" w:rsidRDefault="004C73F9">
      <w:r>
        <w:separator/>
      </w:r>
    </w:p>
  </w:footnote>
  <w:footnote w:type="continuationSeparator" w:id="0">
    <w:p w14:paraId="779D8A53" w14:textId="77777777" w:rsidR="004C73F9" w:rsidRDefault="004C73F9">
      <w:r>
        <w:continuationSeparator/>
      </w:r>
    </w:p>
  </w:footnote>
  <w:footnote w:type="continuationNotice" w:id="1">
    <w:p w14:paraId="669D40A2" w14:textId="77777777" w:rsidR="004C73F9" w:rsidRDefault="004C73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82C71" w:rsidRDefault="00282C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2E36D9"/>
    <w:multiLevelType w:val="hybridMultilevel"/>
    <w:tmpl w:val="ACDAC4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75E8A"/>
    <w:multiLevelType w:val="hybridMultilevel"/>
    <w:tmpl w:val="3CA4AB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D81C41"/>
    <w:multiLevelType w:val="hybridMultilevel"/>
    <w:tmpl w:val="B01E07CA"/>
    <w:lvl w:ilvl="0" w:tplc="911EC68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9E17CE"/>
    <w:multiLevelType w:val="hybridMultilevel"/>
    <w:tmpl w:val="AD68E162"/>
    <w:lvl w:ilvl="0" w:tplc="61B614A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F37F6C"/>
    <w:multiLevelType w:val="hybridMultilevel"/>
    <w:tmpl w:val="3880E3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B2678A"/>
    <w:multiLevelType w:val="multilevel"/>
    <w:tmpl w:val="F2F8C6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4"/>
  </w:num>
  <w:num w:numId="3">
    <w:abstractNumId w:val="0"/>
  </w:num>
  <w:num w:numId="4">
    <w:abstractNumId w:val="16"/>
  </w:num>
  <w:num w:numId="5">
    <w:abstractNumId w:val="17"/>
  </w:num>
  <w:num w:numId="6">
    <w:abstractNumId w:val="19"/>
  </w:num>
  <w:num w:numId="7">
    <w:abstractNumId w:val="6"/>
  </w:num>
  <w:num w:numId="8">
    <w:abstractNumId w:val="8"/>
  </w:num>
  <w:num w:numId="9">
    <w:abstractNumId w:val="3"/>
  </w:num>
  <w:num w:numId="10">
    <w:abstractNumId w:val="22"/>
  </w:num>
  <w:num w:numId="11">
    <w:abstractNumId w:val="12"/>
  </w:num>
  <w:num w:numId="12">
    <w:abstractNumId w:val="21"/>
  </w:num>
  <w:num w:numId="13">
    <w:abstractNumId w:val="10"/>
  </w:num>
  <w:num w:numId="14">
    <w:abstractNumId w:val="11"/>
  </w:num>
  <w:num w:numId="15">
    <w:abstractNumId w:val="7"/>
  </w:num>
  <w:num w:numId="16">
    <w:abstractNumId w:val="2"/>
  </w:num>
  <w:num w:numId="17">
    <w:abstractNumId w:val="1"/>
  </w:num>
  <w:num w:numId="18">
    <w:abstractNumId w:val="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4501E"/>
    <w:rsid w:val="0005105C"/>
    <w:rsid w:val="00052781"/>
    <w:rsid w:val="0005287E"/>
    <w:rsid w:val="00052A07"/>
    <w:rsid w:val="000534E3"/>
    <w:rsid w:val="0005406E"/>
    <w:rsid w:val="0005606A"/>
    <w:rsid w:val="00057117"/>
    <w:rsid w:val="00057A10"/>
    <w:rsid w:val="0006060C"/>
    <w:rsid w:val="00060E90"/>
    <w:rsid w:val="000616E7"/>
    <w:rsid w:val="0006487E"/>
    <w:rsid w:val="0006535A"/>
    <w:rsid w:val="00065E1A"/>
    <w:rsid w:val="0007155D"/>
    <w:rsid w:val="000738AC"/>
    <w:rsid w:val="000748AA"/>
    <w:rsid w:val="00077468"/>
    <w:rsid w:val="00077E5F"/>
    <w:rsid w:val="0008036A"/>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3113"/>
    <w:rsid w:val="001551B5"/>
    <w:rsid w:val="00155480"/>
    <w:rsid w:val="00156589"/>
    <w:rsid w:val="001571C1"/>
    <w:rsid w:val="0016097D"/>
    <w:rsid w:val="00161575"/>
    <w:rsid w:val="00161B75"/>
    <w:rsid w:val="001621FF"/>
    <w:rsid w:val="00162C1B"/>
    <w:rsid w:val="001639D9"/>
    <w:rsid w:val="00163DF4"/>
    <w:rsid w:val="00164076"/>
    <w:rsid w:val="001659C1"/>
    <w:rsid w:val="0016666C"/>
    <w:rsid w:val="00173A8E"/>
    <w:rsid w:val="0017502C"/>
    <w:rsid w:val="00180BFA"/>
    <w:rsid w:val="0018143F"/>
    <w:rsid w:val="00181FF8"/>
    <w:rsid w:val="00183F43"/>
    <w:rsid w:val="00184345"/>
    <w:rsid w:val="00184BC0"/>
    <w:rsid w:val="00185E4A"/>
    <w:rsid w:val="0018683C"/>
    <w:rsid w:val="00186E96"/>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8B3"/>
    <w:rsid w:val="00234EFA"/>
    <w:rsid w:val="00234F19"/>
    <w:rsid w:val="00235632"/>
    <w:rsid w:val="00235872"/>
    <w:rsid w:val="002378FA"/>
    <w:rsid w:val="002403E6"/>
    <w:rsid w:val="00240BB4"/>
    <w:rsid w:val="00241559"/>
    <w:rsid w:val="00243268"/>
    <w:rsid w:val="002435B3"/>
    <w:rsid w:val="002458EB"/>
    <w:rsid w:val="002500C8"/>
    <w:rsid w:val="00251882"/>
    <w:rsid w:val="00252826"/>
    <w:rsid w:val="00256209"/>
    <w:rsid w:val="00256377"/>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089C"/>
    <w:rsid w:val="002813CF"/>
    <w:rsid w:val="00281D08"/>
    <w:rsid w:val="0028280A"/>
    <w:rsid w:val="00282C71"/>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C59"/>
    <w:rsid w:val="002B24D6"/>
    <w:rsid w:val="002B5D42"/>
    <w:rsid w:val="002B626A"/>
    <w:rsid w:val="002C2BDB"/>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4B25"/>
    <w:rsid w:val="003551C2"/>
    <w:rsid w:val="00357380"/>
    <w:rsid w:val="00357806"/>
    <w:rsid w:val="00357B0D"/>
    <w:rsid w:val="003602D9"/>
    <w:rsid w:val="003604CE"/>
    <w:rsid w:val="00360BFB"/>
    <w:rsid w:val="00361420"/>
    <w:rsid w:val="00365442"/>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5B65"/>
    <w:rsid w:val="003D65BC"/>
    <w:rsid w:val="003D737A"/>
    <w:rsid w:val="003D7CD1"/>
    <w:rsid w:val="003E092C"/>
    <w:rsid w:val="003E0B74"/>
    <w:rsid w:val="003E15FA"/>
    <w:rsid w:val="003E55E4"/>
    <w:rsid w:val="003E6476"/>
    <w:rsid w:val="003E660B"/>
    <w:rsid w:val="003E67E8"/>
    <w:rsid w:val="003E74E3"/>
    <w:rsid w:val="003F05C7"/>
    <w:rsid w:val="003F2CD4"/>
    <w:rsid w:val="003F2D87"/>
    <w:rsid w:val="003F3F3E"/>
    <w:rsid w:val="003F5872"/>
    <w:rsid w:val="003F6BBE"/>
    <w:rsid w:val="004000E8"/>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095"/>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37B"/>
    <w:rsid w:val="004B79D1"/>
    <w:rsid w:val="004B7C0C"/>
    <w:rsid w:val="004C3898"/>
    <w:rsid w:val="004C3CA7"/>
    <w:rsid w:val="004C6B0C"/>
    <w:rsid w:val="004C6F5F"/>
    <w:rsid w:val="004C73F9"/>
    <w:rsid w:val="004D19E1"/>
    <w:rsid w:val="004D36B1"/>
    <w:rsid w:val="004D6725"/>
    <w:rsid w:val="004D7EBD"/>
    <w:rsid w:val="004E1592"/>
    <w:rsid w:val="004E2110"/>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38DD"/>
    <w:rsid w:val="0052454F"/>
    <w:rsid w:val="00524BCC"/>
    <w:rsid w:val="00525EBA"/>
    <w:rsid w:val="00532928"/>
    <w:rsid w:val="0053334B"/>
    <w:rsid w:val="0053429F"/>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B7C7A"/>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34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4A04"/>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7FF"/>
    <w:rsid w:val="006741F2"/>
    <w:rsid w:val="00674596"/>
    <w:rsid w:val="006745D0"/>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A20C2"/>
    <w:rsid w:val="006A3D9A"/>
    <w:rsid w:val="006A4215"/>
    <w:rsid w:val="006A46FB"/>
    <w:rsid w:val="006A5A3D"/>
    <w:rsid w:val="006A5E28"/>
    <w:rsid w:val="006A697B"/>
    <w:rsid w:val="006A71E2"/>
    <w:rsid w:val="006A7AFF"/>
    <w:rsid w:val="006B1816"/>
    <w:rsid w:val="006B2099"/>
    <w:rsid w:val="006B50CF"/>
    <w:rsid w:val="006B61DD"/>
    <w:rsid w:val="006C03B8"/>
    <w:rsid w:val="006C1C20"/>
    <w:rsid w:val="006C1C7B"/>
    <w:rsid w:val="006C457B"/>
    <w:rsid w:val="006C5EC9"/>
    <w:rsid w:val="006C6059"/>
    <w:rsid w:val="006C7522"/>
    <w:rsid w:val="006D17DE"/>
    <w:rsid w:val="006D30C0"/>
    <w:rsid w:val="006D320E"/>
    <w:rsid w:val="006D6F08"/>
    <w:rsid w:val="006D7953"/>
    <w:rsid w:val="006E062C"/>
    <w:rsid w:val="006E08DF"/>
    <w:rsid w:val="006E1C82"/>
    <w:rsid w:val="006E28B7"/>
    <w:rsid w:val="006E2A9B"/>
    <w:rsid w:val="006E2BE4"/>
    <w:rsid w:val="006E3310"/>
    <w:rsid w:val="006E36A1"/>
    <w:rsid w:val="006E3B47"/>
    <w:rsid w:val="006E4E39"/>
    <w:rsid w:val="006E565E"/>
    <w:rsid w:val="006E5C09"/>
    <w:rsid w:val="006E5E43"/>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04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7D8B"/>
    <w:rsid w:val="00751228"/>
    <w:rsid w:val="00752E43"/>
    <w:rsid w:val="007571E1"/>
    <w:rsid w:val="00757D90"/>
    <w:rsid w:val="007604B2"/>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39E"/>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608F"/>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4A29"/>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5267"/>
    <w:rsid w:val="00A761D4"/>
    <w:rsid w:val="00A77EC4"/>
    <w:rsid w:val="00A80CAC"/>
    <w:rsid w:val="00A80FB3"/>
    <w:rsid w:val="00A8589C"/>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B93"/>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07EBC"/>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49"/>
    <w:rsid w:val="00B50864"/>
    <w:rsid w:val="00B5151C"/>
    <w:rsid w:val="00B53A10"/>
    <w:rsid w:val="00B54215"/>
    <w:rsid w:val="00B54296"/>
    <w:rsid w:val="00B548B7"/>
    <w:rsid w:val="00B5491D"/>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2107"/>
    <w:rsid w:val="00C12ABB"/>
    <w:rsid w:val="00C14D4B"/>
    <w:rsid w:val="00C1512D"/>
    <w:rsid w:val="00C154BB"/>
    <w:rsid w:val="00C17EDA"/>
    <w:rsid w:val="00C21261"/>
    <w:rsid w:val="00C23C34"/>
    <w:rsid w:val="00C25467"/>
    <w:rsid w:val="00C279B5"/>
    <w:rsid w:val="00C27C45"/>
    <w:rsid w:val="00C32FC3"/>
    <w:rsid w:val="00C3719D"/>
    <w:rsid w:val="00C37CB2"/>
    <w:rsid w:val="00C4316F"/>
    <w:rsid w:val="00C46708"/>
    <w:rsid w:val="00C473A5"/>
    <w:rsid w:val="00C5419E"/>
    <w:rsid w:val="00C5423A"/>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51D"/>
    <w:rsid w:val="00C97EBF"/>
    <w:rsid w:val="00CA0D3A"/>
    <w:rsid w:val="00CA0E56"/>
    <w:rsid w:val="00CA1ED8"/>
    <w:rsid w:val="00CA3BAB"/>
    <w:rsid w:val="00CA4D57"/>
    <w:rsid w:val="00CA55E1"/>
    <w:rsid w:val="00CA7542"/>
    <w:rsid w:val="00CA779C"/>
    <w:rsid w:val="00CB1205"/>
    <w:rsid w:val="00CB1F63"/>
    <w:rsid w:val="00CB22D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1C75"/>
    <w:rsid w:val="00D232A9"/>
    <w:rsid w:val="00D239A7"/>
    <w:rsid w:val="00D23F47"/>
    <w:rsid w:val="00D252F0"/>
    <w:rsid w:val="00D2612A"/>
    <w:rsid w:val="00D26A08"/>
    <w:rsid w:val="00D308C9"/>
    <w:rsid w:val="00D30C9B"/>
    <w:rsid w:val="00D32DE6"/>
    <w:rsid w:val="00D3341B"/>
    <w:rsid w:val="00D36E71"/>
    <w:rsid w:val="00D37D87"/>
    <w:rsid w:val="00D40B33"/>
    <w:rsid w:val="00D43015"/>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61AF5"/>
    <w:rsid w:val="00D6223C"/>
    <w:rsid w:val="00D62A3C"/>
    <w:rsid w:val="00D6426E"/>
    <w:rsid w:val="00D652B5"/>
    <w:rsid w:val="00D66155"/>
    <w:rsid w:val="00D67741"/>
    <w:rsid w:val="00D67D33"/>
    <w:rsid w:val="00D708B0"/>
    <w:rsid w:val="00D70FD8"/>
    <w:rsid w:val="00D71013"/>
    <w:rsid w:val="00D7121A"/>
    <w:rsid w:val="00D71DE2"/>
    <w:rsid w:val="00D7281A"/>
    <w:rsid w:val="00D77B1D"/>
    <w:rsid w:val="00D8021F"/>
    <w:rsid w:val="00D802A7"/>
    <w:rsid w:val="00D80383"/>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2B2F"/>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308"/>
    <w:rsid w:val="00DE5608"/>
    <w:rsid w:val="00DE58D0"/>
    <w:rsid w:val="00DE654F"/>
    <w:rsid w:val="00DF01EA"/>
    <w:rsid w:val="00DF0849"/>
    <w:rsid w:val="00DF0B6E"/>
    <w:rsid w:val="00DF15E0"/>
    <w:rsid w:val="00DF316A"/>
    <w:rsid w:val="00DF37A0"/>
    <w:rsid w:val="00DF440B"/>
    <w:rsid w:val="00DF4ABC"/>
    <w:rsid w:val="00DF5C92"/>
    <w:rsid w:val="00E035B9"/>
    <w:rsid w:val="00E0436E"/>
    <w:rsid w:val="00E062FA"/>
    <w:rsid w:val="00E110E7"/>
    <w:rsid w:val="00E1121C"/>
    <w:rsid w:val="00E11B20"/>
    <w:rsid w:val="00E14268"/>
    <w:rsid w:val="00E14AB1"/>
    <w:rsid w:val="00E16D0C"/>
    <w:rsid w:val="00E17FA2"/>
    <w:rsid w:val="00E22330"/>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EFC"/>
    <w:rsid w:val="00E758EC"/>
    <w:rsid w:val="00E75916"/>
    <w:rsid w:val="00E80ACA"/>
    <w:rsid w:val="00E821DE"/>
    <w:rsid w:val="00E8234C"/>
    <w:rsid w:val="00E82BCD"/>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0839"/>
    <w:rsid w:val="00EA1229"/>
    <w:rsid w:val="00EA132A"/>
    <w:rsid w:val="00EA2877"/>
    <w:rsid w:val="00EA7A41"/>
    <w:rsid w:val="00EB077B"/>
    <w:rsid w:val="00EB097F"/>
    <w:rsid w:val="00EB4EA2"/>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7AF"/>
    <w:rsid w:val="00F23853"/>
    <w:rsid w:val="00F243D8"/>
    <w:rsid w:val="00F256D6"/>
    <w:rsid w:val="00F30828"/>
    <w:rsid w:val="00F313D6"/>
    <w:rsid w:val="00F321DD"/>
    <w:rsid w:val="00F3221A"/>
    <w:rsid w:val="00F332F1"/>
    <w:rsid w:val="00F337AD"/>
    <w:rsid w:val="00F35A59"/>
    <w:rsid w:val="00F376AE"/>
    <w:rsid w:val="00F40F0C"/>
    <w:rsid w:val="00F416C3"/>
    <w:rsid w:val="00F42C43"/>
    <w:rsid w:val="00F4319B"/>
    <w:rsid w:val="00F4640C"/>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7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B73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737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78C68EC-8B7C-4DE3-B5DD-7824C122A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68EB1D43-F6EC-4420-AB09-DF7E9D15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13</Pages>
  <Words>4418</Words>
  <Characters>25186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29545</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282</cp:revision>
  <dcterms:created xsi:type="dcterms:W3CDTF">2019-05-04T12:01:00Z</dcterms:created>
  <dcterms:modified xsi:type="dcterms:W3CDTF">2020-08-07T13:01:00Z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